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D25FA">
      <w:pPr>
        <w:tabs>
          <w:tab w:val="left" w:pos="2410"/>
        </w:tabs>
        <w:autoSpaceDE w:val="0"/>
        <w:autoSpaceDN w:val="0"/>
        <w:adjustRightInd w:val="0"/>
        <w:snapToGrid w:val="0"/>
        <w:spacing w:line="360" w:lineRule="auto"/>
        <w:jc w:val="left"/>
        <w:rPr>
          <w:rFonts w:hint="eastAsia" w:ascii="宋体" w:hAnsi="宋体" w:eastAsia="宋体" w:cs="宋体"/>
          <w:b/>
          <w:color w:val="auto"/>
          <w:spacing w:val="20"/>
          <w:kern w:val="0"/>
          <w:sz w:val="24"/>
          <w:szCs w:val="24"/>
          <w:lang w:val="en-US" w:eastAsia="zh-CN"/>
        </w:rPr>
      </w:pPr>
      <w:r>
        <w:rPr>
          <w:rFonts w:hint="eastAsia" w:ascii="宋体" w:hAnsi="宋体" w:eastAsia="宋体" w:cs="宋体"/>
          <w:b/>
          <w:color w:val="auto"/>
          <w:spacing w:val="20"/>
          <w:kern w:val="0"/>
          <w:sz w:val="24"/>
          <w:szCs w:val="24"/>
          <w:lang w:eastAsia="zh-CN"/>
        </w:rPr>
        <w:t>五河县第一中学（高中）建设项目设施设备采购（第二批）—实验室及功能教室设备采购</w:t>
      </w:r>
      <w:r>
        <w:rPr>
          <w:rFonts w:hint="eastAsia" w:ascii="宋体" w:hAnsi="宋体" w:eastAsia="宋体" w:cs="宋体"/>
          <w:b/>
          <w:color w:val="auto"/>
          <w:spacing w:val="20"/>
          <w:kern w:val="0"/>
          <w:sz w:val="24"/>
          <w:szCs w:val="24"/>
          <w:lang w:val="en-US" w:eastAsia="zh-CN"/>
        </w:rPr>
        <w:t>2包采购需求</w:t>
      </w:r>
    </w:p>
    <w:p w14:paraId="09A9E345">
      <w:pPr>
        <w:spacing w:line="360" w:lineRule="auto"/>
        <w:ind w:firstLine="437"/>
        <w:outlineLvl w:val="1"/>
        <w:rPr>
          <w:rFonts w:hint="eastAsia" w:ascii="宋体" w:hAnsi="宋体" w:eastAsia="宋体" w:cs="宋体"/>
          <w:b/>
          <w:color w:val="auto"/>
          <w:sz w:val="24"/>
          <w:szCs w:val="24"/>
          <w:lang w:val="en-US" w:eastAsia="zh-CN"/>
        </w:rPr>
      </w:pPr>
    </w:p>
    <w:p w14:paraId="7DD9C4E7">
      <w:pPr>
        <w:spacing w:line="360" w:lineRule="auto"/>
        <w:ind w:firstLine="437"/>
        <w:outlineLvl w:val="1"/>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rPr>
        <w:t>、采购需求前附表</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5D28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663BF77">
            <w:pPr>
              <w:pStyle w:val="5"/>
              <w:pBdr>
                <w:bottom w:val="none" w:color="auto" w:sz="0" w:space="0"/>
              </w:pBdr>
              <w:tabs>
                <w:tab w:val="clear" w:pos="4153"/>
                <w:tab w:val="clear" w:pos="8306"/>
              </w:tabs>
              <w:adjustRightInd/>
              <w:spacing w:line="240" w:lineRule="auto"/>
              <w:textAlignment w:val="auto"/>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序号</w:t>
            </w:r>
          </w:p>
        </w:tc>
        <w:tc>
          <w:tcPr>
            <w:tcW w:w="1192" w:type="pct"/>
            <w:vAlign w:val="center"/>
          </w:tcPr>
          <w:p w14:paraId="5BB50149">
            <w:pPr>
              <w:pStyle w:val="6"/>
              <w:widowControl w:val="0"/>
              <w:spacing w:before="0" w:beforeAutospacing="0" w:after="0" w:afterAutospacing="0" w:line="360" w:lineRule="auto"/>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条款名称</w:t>
            </w:r>
          </w:p>
        </w:tc>
        <w:tc>
          <w:tcPr>
            <w:tcW w:w="3217" w:type="pct"/>
            <w:vAlign w:val="center"/>
          </w:tcPr>
          <w:p w14:paraId="49FF2B2E">
            <w:pPr>
              <w:pStyle w:val="6"/>
              <w:widowControl w:val="0"/>
              <w:spacing w:before="0" w:beforeAutospacing="0" w:after="0" w:afterAutospacing="0" w:line="360" w:lineRule="auto"/>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内容、说明与要求</w:t>
            </w:r>
          </w:p>
        </w:tc>
      </w:tr>
      <w:tr w14:paraId="4865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0E47888">
            <w:pPr>
              <w:pStyle w:val="5"/>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1</w:t>
            </w:r>
          </w:p>
        </w:tc>
        <w:tc>
          <w:tcPr>
            <w:tcW w:w="1192" w:type="pct"/>
            <w:vAlign w:val="center"/>
          </w:tcPr>
          <w:p w14:paraId="07F0DABE">
            <w:pPr>
              <w:pStyle w:val="6"/>
              <w:widowControl w:val="0"/>
              <w:spacing w:before="0" w:beforeAutospacing="0" w:after="0" w:afterAutospacing="0" w:line="360" w:lineRule="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付款方式</w:t>
            </w:r>
          </w:p>
        </w:tc>
        <w:tc>
          <w:tcPr>
            <w:tcW w:w="3217" w:type="pct"/>
            <w:vAlign w:val="center"/>
          </w:tcPr>
          <w:p w14:paraId="3E045CB4">
            <w:pPr>
              <w:pStyle w:val="6"/>
              <w:widowControl w:val="0"/>
              <w:spacing w:before="0" w:beforeAutospacing="0" w:after="0" w:afterAutospacing="0" w:line="360" w:lineRule="auto"/>
              <w:jc w:val="both"/>
              <w:rPr>
                <w:rFonts w:hint="eastAsia" w:ascii="宋体" w:hAnsi="宋体" w:eastAsia="宋体" w:cs="宋体"/>
                <w:b w:val="0"/>
                <w:color w:val="auto"/>
                <w:sz w:val="24"/>
                <w:szCs w:val="24"/>
                <w:u w:val="single"/>
              </w:rPr>
            </w:pPr>
            <w:r>
              <w:rPr>
                <w:rFonts w:hint="eastAsia" w:ascii="宋体" w:hAnsi="宋体" w:eastAsia="宋体" w:cs="宋体"/>
                <w:b w:val="0"/>
                <w:color w:val="auto"/>
                <w:sz w:val="24"/>
                <w:szCs w:val="24"/>
                <w:u w:val="single"/>
              </w:rPr>
              <w:t>货到采购人指定地点安装调试完毕且验收合格,并在收到供应商发票后支付至所供货物金额的 100%。</w:t>
            </w:r>
          </w:p>
        </w:tc>
      </w:tr>
      <w:tr w14:paraId="6E37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BED51FF">
            <w:pPr>
              <w:pStyle w:val="5"/>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2</w:t>
            </w:r>
          </w:p>
        </w:tc>
        <w:tc>
          <w:tcPr>
            <w:tcW w:w="1192" w:type="pct"/>
            <w:vAlign w:val="center"/>
          </w:tcPr>
          <w:p w14:paraId="0A6F8F3D">
            <w:pPr>
              <w:pStyle w:val="6"/>
              <w:widowControl w:val="0"/>
              <w:spacing w:before="0" w:beforeAutospacing="0" w:after="0" w:afterAutospacing="0" w:line="360" w:lineRule="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供货及安装地点</w:t>
            </w:r>
          </w:p>
        </w:tc>
        <w:tc>
          <w:tcPr>
            <w:tcW w:w="3217" w:type="pct"/>
            <w:vAlign w:val="center"/>
          </w:tcPr>
          <w:p w14:paraId="74D6C457">
            <w:pPr>
              <w:pStyle w:val="6"/>
              <w:widowControl w:val="0"/>
              <w:spacing w:before="0" w:beforeAutospacing="0" w:after="0" w:afterAutospacing="0" w:line="36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采购人指定地点</w:t>
            </w:r>
          </w:p>
        </w:tc>
      </w:tr>
      <w:tr w14:paraId="1620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5963F30">
            <w:pPr>
              <w:pStyle w:val="5"/>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3</w:t>
            </w:r>
          </w:p>
        </w:tc>
        <w:tc>
          <w:tcPr>
            <w:tcW w:w="1192" w:type="pct"/>
            <w:vAlign w:val="center"/>
          </w:tcPr>
          <w:p w14:paraId="0002F792">
            <w:pPr>
              <w:pStyle w:val="6"/>
              <w:widowControl w:val="0"/>
              <w:spacing w:before="0" w:beforeAutospacing="0" w:after="0" w:afterAutospacing="0" w:line="360" w:lineRule="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供货及安装期限</w:t>
            </w:r>
          </w:p>
        </w:tc>
        <w:tc>
          <w:tcPr>
            <w:tcW w:w="3217" w:type="pct"/>
            <w:vAlign w:val="center"/>
          </w:tcPr>
          <w:p w14:paraId="0CE05B6F">
            <w:pPr>
              <w:pStyle w:val="6"/>
              <w:widowControl w:val="0"/>
              <w:spacing w:before="0" w:beforeAutospacing="0" w:after="0" w:afterAutospacing="0" w:line="36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自合同签订并接到采购人供货通知之日起60日历天内供货安装完成并通过采购人验收。</w:t>
            </w:r>
          </w:p>
        </w:tc>
      </w:tr>
      <w:tr w14:paraId="6DC9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1DF41F6">
            <w:pPr>
              <w:pStyle w:val="5"/>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4</w:t>
            </w:r>
          </w:p>
        </w:tc>
        <w:tc>
          <w:tcPr>
            <w:tcW w:w="1192" w:type="pct"/>
            <w:vAlign w:val="center"/>
          </w:tcPr>
          <w:p w14:paraId="1CF26D89">
            <w:pPr>
              <w:pStyle w:val="6"/>
              <w:widowControl w:val="0"/>
              <w:spacing w:before="0" w:beforeAutospacing="0" w:after="0" w:afterAutospacing="0" w:line="360" w:lineRule="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免费质保期</w:t>
            </w:r>
          </w:p>
        </w:tc>
        <w:tc>
          <w:tcPr>
            <w:tcW w:w="3217" w:type="pct"/>
            <w:vAlign w:val="center"/>
          </w:tcPr>
          <w:p w14:paraId="1B60DB4B">
            <w:pPr>
              <w:pStyle w:val="6"/>
              <w:widowControl w:val="0"/>
              <w:spacing w:before="0" w:beforeAutospacing="0" w:after="0" w:afterAutospacing="0" w:line="360" w:lineRule="auto"/>
              <w:jc w:val="both"/>
              <w:rPr>
                <w:rFonts w:hint="eastAsia" w:ascii="宋体" w:hAnsi="宋体" w:eastAsia="宋体" w:cs="宋体"/>
                <w:b w:val="0"/>
                <w:color w:val="auto"/>
                <w:sz w:val="24"/>
                <w:szCs w:val="24"/>
                <w:lang w:eastAsia="zh-CN"/>
              </w:rPr>
            </w:pPr>
            <w:r>
              <w:rPr>
                <w:rFonts w:hint="eastAsia" w:ascii="宋体" w:hAnsi="宋体" w:eastAsia="宋体" w:cs="宋体"/>
                <w:b w:val="0"/>
                <w:color w:val="auto"/>
                <w:sz w:val="24"/>
                <w:szCs w:val="24"/>
                <w:u w:val="single"/>
                <w:lang w:val="en-US" w:eastAsia="zh-CN"/>
              </w:rPr>
              <w:t>三年</w:t>
            </w:r>
          </w:p>
        </w:tc>
      </w:tr>
    </w:tbl>
    <w:p w14:paraId="3E07A984">
      <w:pPr>
        <w:numPr>
          <w:ilvl w:val="0"/>
          <w:numId w:val="0"/>
        </w:numPr>
        <w:spacing w:line="360" w:lineRule="auto"/>
        <w:outlineLvl w:val="2"/>
        <w:rPr>
          <w:rFonts w:hint="eastAsia" w:ascii="宋体" w:hAnsi="宋体" w:eastAsia="宋体" w:cs="宋体"/>
          <w:b/>
          <w:bCs/>
          <w:color w:val="auto"/>
          <w:sz w:val="24"/>
          <w:szCs w:val="24"/>
        </w:rPr>
      </w:pPr>
      <w:bookmarkStart w:id="0" w:name="_Toc7671"/>
      <w:bookmarkStart w:id="1" w:name="_Toc632"/>
      <w:bookmarkStart w:id="2" w:name="_Toc5944"/>
      <w:r>
        <w:rPr>
          <w:rFonts w:hint="eastAsia" w:ascii="宋体" w:hAnsi="宋体" w:eastAsia="宋体" w:cs="宋体"/>
          <w:b/>
          <w:bCs/>
          <w:color w:val="auto"/>
          <w:kern w:val="2"/>
          <w:sz w:val="24"/>
          <w:szCs w:val="24"/>
          <w:lang w:val="en-US" w:eastAsia="zh-CN" w:bidi="ar-SA"/>
        </w:rPr>
        <w:t>二、</w:t>
      </w:r>
      <w:r>
        <w:rPr>
          <w:rFonts w:hint="eastAsia" w:ascii="宋体" w:hAnsi="宋体" w:eastAsia="宋体" w:cs="宋体"/>
          <w:b/>
          <w:color w:val="auto"/>
          <w:sz w:val="24"/>
          <w:szCs w:val="24"/>
        </w:rPr>
        <w:t>货物</w:t>
      </w:r>
      <w:r>
        <w:rPr>
          <w:rFonts w:hint="eastAsia" w:ascii="宋体" w:hAnsi="宋体" w:eastAsia="宋体" w:cs="宋体"/>
          <w:b/>
          <w:bCs/>
          <w:color w:val="auto"/>
          <w:sz w:val="24"/>
          <w:szCs w:val="24"/>
        </w:rPr>
        <w:t>需求</w:t>
      </w:r>
      <w:bookmarkEnd w:id="0"/>
      <w:bookmarkEnd w:id="1"/>
      <w:bookmarkEnd w:id="2"/>
    </w:p>
    <w:p w14:paraId="188CD0E9">
      <w:pPr>
        <w:numPr>
          <w:ilvl w:val="0"/>
          <w:numId w:val="0"/>
        </w:numPr>
        <w:rPr>
          <w:rFonts w:hint="eastAsia" w:ascii="宋体" w:hAnsi="宋体" w:eastAsia="宋体" w:cs="宋体"/>
          <w:i w:val="0"/>
          <w:iCs w:val="0"/>
          <w:color w:val="auto"/>
          <w:kern w:val="0"/>
          <w:sz w:val="24"/>
          <w:szCs w:val="24"/>
          <w:highlight w:val="none"/>
          <w:u w:val="none"/>
          <w:lang w:val="en-US" w:eastAsia="zh-CN" w:bidi="ar"/>
        </w:rPr>
      </w:pPr>
    </w:p>
    <w:p w14:paraId="2DE1AE95">
      <w:pPr>
        <w:widowControl/>
        <w:ind w:right="45"/>
        <w:jc w:val="left"/>
        <w:outlineLvl w:val="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2包：</w:t>
      </w:r>
    </w:p>
    <w:p w14:paraId="282F8176">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p w14:paraId="1BA5836C">
      <w:pPr>
        <w:keepNext w:val="0"/>
        <w:keepLines w:val="0"/>
        <w:widowControl/>
        <w:suppressLineNumbers w:val="0"/>
        <w:jc w:val="center"/>
        <w:textAlignment w:val="center"/>
        <w:outlineLvl w:val="1"/>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一、</w:t>
      </w:r>
      <w:r>
        <w:rPr>
          <w:rFonts w:hint="eastAsia" w:ascii="宋体" w:hAnsi="宋体" w:eastAsia="宋体" w:cs="宋体"/>
          <w:b/>
          <w:bCs/>
          <w:i w:val="0"/>
          <w:iCs w:val="0"/>
          <w:color w:val="auto"/>
          <w:kern w:val="0"/>
          <w:sz w:val="24"/>
          <w:szCs w:val="24"/>
          <w:highlight w:val="none"/>
          <w:u w:val="none"/>
          <w:lang w:val="en-US" w:eastAsia="zh-CN" w:bidi="ar"/>
        </w:rPr>
        <w:t>设备清单</w:t>
      </w:r>
    </w:p>
    <w:tbl>
      <w:tblPr>
        <w:tblStyle w:val="3"/>
        <w:tblW w:w="81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7"/>
        <w:gridCol w:w="4186"/>
        <w:gridCol w:w="10"/>
        <w:gridCol w:w="943"/>
        <w:gridCol w:w="1224"/>
        <w:gridCol w:w="1224"/>
      </w:tblGrid>
      <w:tr w14:paraId="30B22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B83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4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47546">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设备名称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F72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13C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0108">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1E97D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B635">
            <w:pPr>
              <w:keepNext w:val="0"/>
              <w:keepLines w:val="0"/>
              <w:widowControl/>
              <w:suppressLineNumbers w:val="0"/>
              <w:jc w:val="center"/>
              <w:textAlignment w:val="center"/>
              <w:outlineLvl w:val="9"/>
              <w:rPr>
                <w:rFonts w:hint="eastAsia" w:ascii="宋体" w:hAnsi="宋体" w:eastAsia="宋体" w:cs="宋体"/>
                <w:b/>
                <w:bCs/>
                <w:i w:val="0"/>
                <w:iCs w:val="0"/>
                <w:color w:val="auto"/>
                <w:kern w:val="0"/>
                <w:sz w:val="24"/>
                <w:szCs w:val="24"/>
                <w:highlight w:val="none"/>
                <w:u w:val="none"/>
                <w:lang w:val="en-US" w:eastAsia="zh-CN" w:bidi="ar"/>
              </w:rPr>
            </w:pPr>
          </w:p>
        </w:tc>
        <w:tc>
          <w:tcPr>
            <w:tcW w:w="4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4EC18">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（一）物理实验室</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CD33">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D4CD">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845F">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001A1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1F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6B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智慧黑板</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3E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29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77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C002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6920">
            <w:pPr>
              <w:rPr>
                <w:rFonts w:hint="eastAsia" w:ascii="宋体" w:hAnsi="宋体" w:eastAsia="宋体" w:cs="宋体"/>
                <w:i w:val="0"/>
                <w:iCs w:val="0"/>
                <w:color w:val="auto"/>
                <w:sz w:val="24"/>
                <w:szCs w:val="24"/>
                <w:highlight w:val="none"/>
                <w:u w:val="none"/>
              </w:rPr>
            </w:pPr>
          </w:p>
        </w:tc>
        <w:tc>
          <w:tcPr>
            <w:tcW w:w="4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47D9F">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（二）化学实验室</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1B6E6">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823F">
            <w:pPr>
              <w:jc w:val="center"/>
              <w:rPr>
                <w:rFonts w:hint="eastAsia" w:ascii="宋体" w:hAnsi="宋体" w:eastAsia="宋体" w:cs="宋体"/>
                <w:b/>
                <w:bCs/>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CD04">
            <w:pPr>
              <w:jc w:val="center"/>
              <w:rPr>
                <w:rFonts w:hint="eastAsia" w:ascii="宋体" w:hAnsi="宋体" w:eastAsia="宋体" w:cs="宋体"/>
                <w:b/>
                <w:bCs/>
                <w:i w:val="0"/>
                <w:iCs w:val="0"/>
                <w:color w:val="auto"/>
                <w:sz w:val="24"/>
                <w:szCs w:val="24"/>
                <w:highlight w:val="none"/>
                <w:u w:val="none"/>
              </w:rPr>
            </w:pPr>
          </w:p>
        </w:tc>
      </w:tr>
      <w:tr w14:paraId="497A5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BC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9F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智慧黑板</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A7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99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52B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7601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56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4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C7697">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（三）生物实验室</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84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CD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C2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07CE2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1C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FE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智慧黑板</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E9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AA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1D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D564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C5E9">
            <w:pPr>
              <w:jc w:val="center"/>
              <w:rPr>
                <w:rFonts w:hint="eastAsia" w:ascii="宋体" w:hAnsi="宋体" w:eastAsia="宋体" w:cs="宋体"/>
                <w:i w:val="0"/>
                <w:iCs w:val="0"/>
                <w:color w:val="auto"/>
                <w:sz w:val="24"/>
                <w:szCs w:val="24"/>
                <w:highlight w:val="none"/>
                <w:u w:val="none"/>
              </w:rPr>
            </w:pPr>
          </w:p>
        </w:tc>
        <w:tc>
          <w:tcPr>
            <w:tcW w:w="4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29967">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（四）地理实验室及其他功能教室</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DC31">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57A1">
            <w:pPr>
              <w:jc w:val="center"/>
              <w:rPr>
                <w:rFonts w:hint="eastAsia" w:ascii="宋体" w:hAnsi="宋体" w:eastAsia="宋体" w:cs="宋体"/>
                <w:i w:val="0"/>
                <w:iCs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AC87">
            <w:pPr>
              <w:jc w:val="center"/>
              <w:rPr>
                <w:rFonts w:hint="eastAsia" w:ascii="宋体" w:hAnsi="宋体" w:eastAsia="宋体" w:cs="宋体"/>
                <w:i w:val="0"/>
                <w:iCs w:val="0"/>
                <w:color w:val="auto"/>
                <w:sz w:val="24"/>
                <w:szCs w:val="24"/>
                <w:highlight w:val="none"/>
                <w:u w:val="none"/>
              </w:rPr>
            </w:pPr>
          </w:p>
        </w:tc>
      </w:tr>
      <w:tr w14:paraId="1A691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67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A5E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智慧黑板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85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AD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DA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786E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1B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4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2C5B9">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一体机</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327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28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AF4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91A2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B4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1EE2F">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（五）8F会议室（烛光楼）</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A4E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7A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8C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AAF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07" w:type="dxa"/>
            <w:shd w:val="clear" w:color="auto" w:fill="auto"/>
            <w:noWrap/>
            <w:vAlign w:val="center"/>
          </w:tcPr>
          <w:p w14:paraId="11C27D0E">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4186" w:type="dxa"/>
            <w:shd w:val="clear" w:color="auto" w:fill="auto"/>
            <w:vAlign w:val="center"/>
          </w:tcPr>
          <w:p w14:paraId="631E3124">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100寸交互一体机</w:t>
            </w:r>
          </w:p>
        </w:tc>
        <w:tc>
          <w:tcPr>
            <w:tcW w:w="953" w:type="dxa"/>
            <w:gridSpan w:val="2"/>
            <w:shd w:val="clear" w:color="auto" w:fill="auto"/>
            <w:noWrap/>
            <w:vAlign w:val="center"/>
          </w:tcPr>
          <w:p w14:paraId="2D3F6FA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24" w:type="dxa"/>
            <w:shd w:val="clear" w:color="auto" w:fill="auto"/>
            <w:noWrap/>
            <w:vAlign w:val="center"/>
          </w:tcPr>
          <w:p w14:paraId="770F94B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w:t>
            </w:r>
          </w:p>
        </w:tc>
        <w:tc>
          <w:tcPr>
            <w:tcW w:w="1224" w:type="dxa"/>
            <w:shd w:val="clear" w:color="auto" w:fill="auto"/>
            <w:noWrap/>
            <w:vAlign w:val="center"/>
          </w:tcPr>
          <w:p w14:paraId="0D7BCDAB">
            <w:pPr>
              <w:widowControl/>
              <w:jc w:val="center"/>
              <w:rPr>
                <w:rFonts w:hint="eastAsia" w:ascii="宋体" w:hAnsi="宋体" w:eastAsia="宋体" w:cs="宋体"/>
                <w:color w:val="auto"/>
                <w:kern w:val="0"/>
                <w:sz w:val="24"/>
                <w:szCs w:val="24"/>
                <w:highlight w:val="yellow"/>
              </w:rPr>
            </w:pPr>
          </w:p>
        </w:tc>
      </w:tr>
      <w:tr w14:paraId="7E91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jc w:val="center"/>
        </w:trPr>
        <w:tc>
          <w:tcPr>
            <w:tcW w:w="607" w:type="dxa"/>
            <w:shd w:val="clear" w:color="auto" w:fill="auto"/>
            <w:noWrap/>
            <w:vAlign w:val="center"/>
          </w:tcPr>
          <w:p w14:paraId="5D4B8D2A">
            <w:pPr>
              <w:widowControl/>
              <w:jc w:val="center"/>
              <w:rPr>
                <w:rFonts w:hint="eastAsia" w:ascii="宋体" w:hAnsi="宋体" w:eastAsia="宋体" w:cs="宋体"/>
                <w:color w:val="auto"/>
                <w:kern w:val="0"/>
                <w:sz w:val="24"/>
                <w:szCs w:val="24"/>
              </w:rPr>
            </w:pPr>
          </w:p>
        </w:tc>
        <w:tc>
          <w:tcPr>
            <w:tcW w:w="4186" w:type="dxa"/>
            <w:shd w:val="clear" w:color="auto" w:fill="auto"/>
            <w:vAlign w:val="center"/>
          </w:tcPr>
          <w:p w14:paraId="68ECE6C5">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（六）8F党建会议室（烛光楼</w:t>
            </w:r>
          </w:p>
        </w:tc>
        <w:tc>
          <w:tcPr>
            <w:tcW w:w="953" w:type="dxa"/>
            <w:gridSpan w:val="2"/>
            <w:shd w:val="clear" w:color="auto" w:fill="auto"/>
            <w:noWrap/>
            <w:vAlign w:val="center"/>
          </w:tcPr>
          <w:p w14:paraId="67CE5600">
            <w:pPr>
              <w:widowControl/>
              <w:jc w:val="center"/>
              <w:rPr>
                <w:rFonts w:hint="eastAsia" w:ascii="宋体" w:hAnsi="宋体" w:eastAsia="宋体" w:cs="宋体"/>
                <w:color w:val="auto"/>
                <w:kern w:val="0"/>
                <w:sz w:val="24"/>
                <w:szCs w:val="24"/>
                <w:highlight w:val="none"/>
              </w:rPr>
            </w:pPr>
          </w:p>
        </w:tc>
        <w:tc>
          <w:tcPr>
            <w:tcW w:w="1224" w:type="dxa"/>
            <w:shd w:val="clear" w:color="auto" w:fill="auto"/>
            <w:noWrap/>
            <w:vAlign w:val="center"/>
          </w:tcPr>
          <w:p w14:paraId="5CC5802E">
            <w:pPr>
              <w:widowControl/>
              <w:jc w:val="center"/>
              <w:rPr>
                <w:rFonts w:hint="eastAsia" w:ascii="宋体" w:hAnsi="宋体" w:eastAsia="宋体" w:cs="宋体"/>
                <w:color w:val="auto"/>
                <w:kern w:val="0"/>
                <w:sz w:val="24"/>
                <w:szCs w:val="24"/>
                <w:highlight w:val="none"/>
              </w:rPr>
            </w:pPr>
          </w:p>
        </w:tc>
        <w:tc>
          <w:tcPr>
            <w:tcW w:w="1224" w:type="dxa"/>
            <w:shd w:val="clear" w:color="auto" w:fill="auto"/>
            <w:noWrap/>
            <w:vAlign w:val="center"/>
          </w:tcPr>
          <w:p w14:paraId="3344FCD2">
            <w:pPr>
              <w:widowControl/>
              <w:jc w:val="center"/>
              <w:rPr>
                <w:rFonts w:hint="eastAsia" w:ascii="宋体" w:hAnsi="宋体" w:eastAsia="宋体" w:cs="宋体"/>
                <w:color w:val="auto"/>
                <w:kern w:val="0"/>
                <w:sz w:val="24"/>
                <w:szCs w:val="24"/>
                <w:highlight w:val="yellow"/>
              </w:rPr>
            </w:pPr>
          </w:p>
        </w:tc>
      </w:tr>
      <w:tr w14:paraId="78801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07" w:type="dxa"/>
            <w:shd w:val="clear" w:color="auto" w:fill="auto"/>
            <w:noWrap/>
            <w:vAlign w:val="center"/>
          </w:tcPr>
          <w:p w14:paraId="6A0F99CF">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4186" w:type="dxa"/>
            <w:shd w:val="clear" w:color="auto" w:fill="auto"/>
            <w:vAlign w:val="center"/>
          </w:tcPr>
          <w:p w14:paraId="1EA4640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86寸交互一体机</w:t>
            </w:r>
          </w:p>
        </w:tc>
        <w:tc>
          <w:tcPr>
            <w:tcW w:w="953" w:type="dxa"/>
            <w:gridSpan w:val="2"/>
            <w:shd w:val="clear" w:color="auto" w:fill="auto"/>
            <w:noWrap/>
            <w:vAlign w:val="center"/>
          </w:tcPr>
          <w:p w14:paraId="4E94F86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24" w:type="dxa"/>
            <w:shd w:val="clear" w:color="auto" w:fill="auto"/>
            <w:noWrap/>
            <w:vAlign w:val="center"/>
          </w:tcPr>
          <w:p w14:paraId="1A1B46E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w:t>
            </w:r>
          </w:p>
        </w:tc>
        <w:tc>
          <w:tcPr>
            <w:tcW w:w="1224" w:type="dxa"/>
            <w:shd w:val="clear" w:color="auto" w:fill="auto"/>
            <w:noWrap/>
            <w:vAlign w:val="center"/>
          </w:tcPr>
          <w:p w14:paraId="6329E05C">
            <w:pPr>
              <w:widowControl/>
              <w:jc w:val="center"/>
              <w:rPr>
                <w:rFonts w:hint="eastAsia" w:ascii="宋体" w:hAnsi="宋体" w:eastAsia="宋体" w:cs="宋体"/>
                <w:color w:val="auto"/>
                <w:kern w:val="0"/>
                <w:sz w:val="24"/>
                <w:szCs w:val="24"/>
                <w:highlight w:val="yellow"/>
              </w:rPr>
            </w:pPr>
          </w:p>
        </w:tc>
      </w:tr>
      <w:tr w14:paraId="6C4E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07" w:type="dxa"/>
            <w:shd w:val="clear" w:color="auto" w:fill="auto"/>
            <w:noWrap/>
            <w:vAlign w:val="center"/>
          </w:tcPr>
          <w:p w14:paraId="5A1A9FEE">
            <w:pPr>
              <w:widowControl/>
              <w:jc w:val="center"/>
              <w:rPr>
                <w:rFonts w:hint="eastAsia" w:ascii="宋体" w:hAnsi="宋体" w:eastAsia="宋体" w:cs="宋体"/>
                <w:color w:val="auto"/>
                <w:kern w:val="0"/>
                <w:sz w:val="24"/>
                <w:szCs w:val="24"/>
              </w:rPr>
            </w:pPr>
          </w:p>
        </w:tc>
        <w:tc>
          <w:tcPr>
            <w:tcW w:w="4186" w:type="dxa"/>
            <w:shd w:val="clear" w:color="auto" w:fill="auto"/>
            <w:vAlign w:val="center"/>
          </w:tcPr>
          <w:p w14:paraId="0B4CF7A8">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（七）4F教研活动室（烛光楼）</w:t>
            </w:r>
          </w:p>
        </w:tc>
        <w:tc>
          <w:tcPr>
            <w:tcW w:w="953" w:type="dxa"/>
            <w:gridSpan w:val="2"/>
            <w:shd w:val="clear" w:color="auto" w:fill="auto"/>
            <w:noWrap/>
            <w:vAlign w:val="center"/>
          </w:tcPr>
          <w:p w14:paraId="03B22FE0">
            <w:pPr>
              <w:widowControl/>
              <w:jc w:val="center"/>
              <w:rPr>
                <w:rFonts w:hint="eastAsia" w:ascii="宋体" w:hAnsi="宋体" w:eastAsia="宋体" w:cs="宋体"/>
                <w:color w:val="auto"/>
                <w:kern w:val="0"/>
                <w:sz w:val="24"/>
                <w:szCs w:val="24"/>
                <w:highlight w:val="none"/>
              </w:rPr>
            </w:pPr>
          </w:p>
        </w:tc>
        <w:tc>
          <w:tcPr>
            <w:tcW w:w="1224" w:type="dxa"/>
            <w:shd w:val="clear" w:color="auto" w:fill="auto"/>
            <w:noWrap/>
            <w:vAlign w:val="center"/>
          </w:tcPr>
          <w:p w14:paraId="070025E1">
            <w:pPr>
              <w:widowControl/>
              <w:jc w:val="center"/>
              <w:rPr>
                <w:rFonts w:hint="eastAsia" w:ascii="宋体" w:hAnsi="宋体" w:eastAsia="宋体" w:cs="宋体"/>
                <w:color w:val="auto"/>
                <w:kern w:val="0"/>
                <w:sz w:val="24"/>
                <w:szCs w:val="24"/>
                <w:highlight w:val="none"/>
              </w:rPr>
            </w:pPr>
          </w:p>
        </w:tc>
        <w:tc>
          <w:tcPr>
            <w:tcW w:w="1224" w:type="dxa"/>
            <w:shd w:val="clear" w:color="auto" w:fill="auto"/>
            <w:noWrap/>
            <w:vAlign w:val="center"/>
          </w:tcPr>
          <w:p w14:paraId="16AF5104">
            <w:pPr>
              <w:widowControl/>
              <w:jc w:val="center"/>
              <w:rPr>
                <w:rFonts w:hint="eastAsia" w:ascii="宋体" w:hAnsi="宋体" w:eastAsia="宋体" w:cs="宋体"/>
                <w:color w:val="auto"/>
                <w:kern w:val="0"/>
                <w:sz w:val="24"/>
                <w:szCs w:val="24"/>
                <w:highlight w:val="yellow"/>
              </w:rPr>
            </w:pPr>
          </w:p>
        </w:tc>
      </w:tr>
      <w:tr w14:paraId="1ED6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07" w:type="dxa"/>
            <w:shd w:val="clear" w:color="auto" w:fill="auto"/>
            <w:noWrap/>
            <w:vAlign w:val="center"/>
          </w:tcPr>
          <w:p w14:paraId="4E622AFF">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4186" w:type="dxa"/>
            <w:shd w:val="clear" w:color="auto" w:fill="auto"/>
            <w:vAlign w:val="center"/>
          </w:tcPr>
          <w:p w14:paraId="3132B60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100寸交互一体机</w:t>
            </w:r>
          </w:p>
        </w:tc>
        <w:tc>
          <w:tcPr>
            <w:tcW w:w="953" w:type="dxa"/>
            <w:gridSpan w:val="2"/>
            <w:shd w:val="clear" w:color="auto" w:fill="auto"/>
            <w:noWrap/>
            <w:vAlign w:val="center"/>
          </w:tcPr>
          <w:p w14:paraId="4E39000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224" w:type="dxa"/>
            <w:shd w:val="clear" w:color="auto" w:fill="auto"/>
            <w:noWrap/>
            <w:vAlign w:val="center"/>
          </w:tcPr>
          <w:p w14:paraId="1773F10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w:t>
            </w:r>
          </w:p>
        </w:tc>
        <w:tc>
          <w:tcPr>
            <w:tcW w:w="1224" w:type="dxa"/>
            <w:shd w:val="clear" w:color="auto" w:fill="auto"/>
            <w:noWrap/>
            <w:vAlign w:val="center"/>
          </w:tcPr>
          <w:p w14:paraId="1F0F9A19">
            <w:pPr>
              <w:widowControl/>
              <w:jc w:val="center"/>
              <w:rPr>
                <w:rFonts w:hint="eastAsia" w:ascii="宋体" w:hAnsi="宋体" w:eastAsia="宋体" w:cs="宋体"/>
                <w:color w:val="auto"/>
                <w:kern w:val="0"/>
                <w:sz w:val="24"/>
                <w:szCs w:val="24"/>
                <w:highlight w:val="yellow"/>
              </w:rPr>
            </w:pPr>
          </w:p>
        </w:tc>
      </w:tr>
      <w:tr w14:paraId="66D9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jc w:val="center"/>
        </w:trPr>
        <w:tc>
          <w:tcPr>
            <w:tcW w:w="607" w:type="dxa"/>
            <w:shd w:val="clear" w:color="auto" w:fill="auto"/>
            <w:noWrap/>
            <w:vAlign w:val="center"/>
          </w:tcPr>
          <w:p w14:paraId="6D65DB0A">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4186" w:type="dxa"/>
            <w:shd w:val="clear" w:color="auto" w:fill="auto"/>
            <w:vAlign w:val="center"/>
          </w:tcPr>
          <w:p w14:paraId="5FDB74F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86寸交互一体机</w:t>
            </w:r>
          </w:p>
        </w:tc>
        <w:tc>
          <w:tcPr>
            <w:tcW w:w="953" w:type="dxa"/>
            <w:gridSpan w:val="2"/>
            <w:shd w:val="clear" w:color="auto" w:fill="auto"/>
            <w:noWrap/>
            <w:vAlign w:val="center"/>
          </w:tcPr>
          <w:p w14:paraId="5D4AB8C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224" w:type="dxa"/>
            <w:shd w:val="clear" w:color="auto" w:fill="auto"/>
            <w:noWrap/>
            <w:vAlign w:val="center"/>
          </w:tcPr>
          <w:p w14:paraId="2AFCF75C">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w:t>
            </w:r>
          </w:p>
        </w:tc>
        <w:tc>
          <w:tcPr>
            <w:tcW w:w="1224" w:type="dxa"/>
            <w:shd w:val="clear" w:color="auto" w:fill="auto"/>
            <w:noWrap/>
            <w:vAlign w:val="center"/>
          </w:tcPr>
          <w:p w14:paraId="4C6F839E">
            <w:pPr>
              <w:widowControl/>
              <w:jc w:val="center"/>
              <w:rPr>
                <w:rFonts w:hint="eastAsia" w:ascii="宋体" w:hAnsi="宋体" w:eastAsia="宋体" w:cs="宋体"/>
                <w:color w:val="auto"/>
                <w:kern w:val="0"/>
                <w:sz w:val="24"/>
                <w:szCs w:val="24"/>
                <w:highlight w:val="yellow"/>
              </w:rPr>
            </w:pPr>
          </w:p>
        </w:tc>
      </w:tr>
      <w:tr w14:paraId="2C176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07" w:type="dxa"/>
            <w:shd w:val="clear" w:color="auto" w:fill="auto"/>
            <w:noWrap/>
            <w:vAlign w:val="center"/>
          </w:tcPr>
          <w:p w14:paraId="302A6572">
            <w:pPr>
              <w:widowControl/>
              <w:jc w:val="center"/>
              <w:rPr>
                <w:rFonts w:hint="eastAsia" w:ascii="宋体" w:hAnsi="宋体" w:eastAsia="宋体" w:cs="宋体"/>
                <w:color w:val="auto"/>
                <w:kern w:val="0"/>
                <w:sz w:val="24"/>
                <w:szCs w:val="24"/>
              </w:rPr>
            </w:pPr>
          </w:p>
        </w:tc>
        <w:tc>
          <w:tcPr>
            <w:tcW w:w="4186" w:type="dxa"/>
            <w:shd w:val="clear" w:color="auto" w:fill="auto"/>
            <w:vAlign w:val="center"/>
          </w:tcPr>
          <w:p w14:paraId="21C05660">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（八）合班教室（1#2#3#教学楼1F）</w:t>
            </w:r>
          </w:p>
        </w:tc>
        <w:tc>
          <w:tcPr>
            <w:tcW w:w="953" w:type="dxa"/>
            <w:gridSpan w:val="2"/>
            <w:shd w:val="clear" w:color="auto" w:fill="auto"/>
            <w:noWrap/>
            <w:vAlign w:val="center"/>
          </w:tcPr>
          <w:p w14:paraId="21E33E62">
            <w:pPr>
              <w:widowControl/>
              <w:jc w:val="center"/>
              <w:rPr>
                <w:rFonts w:hint="eastAsia" w:ascii="宋体" w:hAnsi="宋体" w:eastAsia="宋体" w:cs="宋体"/>
                <w:color w:val="auto"/>
                <w:kern w:val="0"/>
                <w:sz w:val="24"/>
                <w:szCs w:val="24"/>
                <w:highlight w:val="none"/>
              </w:rPr>
            </w:pPr>
          </w:p>
        </w:tc>
        <w:tc>
          <w:tcPr>
            <w:tcW w:w="1224" w:type="dxa"/>
            <w:shd w:val="clear" w:color="auto" w:fill="auto"/>
            <w:noWrap/>
            <w:vAlign w:val="center"/>
          </w:tcPr>
          <w:p w14:paraId="6263CE2D">
            <w:pPr>
              <w:widowControl/>
              <w:jc w:val="center"/>
              <w:rPr>
                <w:rFonts w:hint="eastAsia" w:ascii="宋体" w:hAnsi="宋体" w:eastAsia="宋体" w:cs="宋体"/>
                <w:color w:val="auto"/>
                <w:kern w:val="0"/>
                <w:sz w:val="24"/>
                <w:szCs w:val="24"/>
                <w:highlight w:val="none"/>
              </w:rPr>
            </w:pPr>
          </w:p>
        </w:tc>
        <w:tc>
          <w:tcPr>
            <w:tcW w:w="1224" w:type="dxa"/>
            <w:shd w:val="clear" w:color="auto" w:fill="auto"/>
            <w:noWrap/>
            <w:vAlign w:val="center"/>
          </w:tcPr>
          <w:p w14:paraId="4FD3EAAB">
            <w:pPr>
              <w:widowControl/>
              <w:jc w:val="center"/>
              <w:rPr>
                <w:rFonts w:hint="eastAsia" w:ascii="宋体" w:hAnsi="宋体" w:eastAsia="宋体" w:cs="宋体"/>
                <w:color w:val="auto"/>
                <w:kern w:val="0"/>
                <w:sz w:val="24"/>
                <w:szCs w:val="24"/>
              </w:rPr>
            </w:pPr>
          </w:p>
        </w:tc>
      </w:tr>
      <w:tr w14:paraId="7241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07" w:type="dxa"/>
            <w:shd w:val="clear" w:color="auto" w:fill="auto"/>
            <w:noWrap/>
            <w:vAlign w:val="center"/>
          </w:tcPr>
          <w:p w14:paraId="52C428DC">
            <w:pPr>
              <w:widowControl/>
              <w:jc w:val="center"/>
              <w:rPr>
                <w:rFonts w:hint="eastAsia" w:ascii="宋体" w:hAnsi="宋体" w:eastAsia="宋体" w:cs="宋体"/>
                <w:color w:val="auto"/>
                <w:kern w:val="0"/>
                <w:sz w:val="24"/>
                <w:szCs w:val="24"/>
                <w:highlight w:val="yellow"/>
              </w:rPr>
            </w:pPr>
            <w:r>
              <w:rPr>
                <w:rFonts w:hint="eastAsia" w:ascii="宋体" w:hAnsi="宋体" w:eastAsia="宋体" w:cs="宋体"/>
                <w:color w:val="auto"/>
                <w:kern w:val="0"/>
                <w:sz w:val="24"/>
                <w:szCs w:val="24"/>
                <w:highlight w:val="none"/>
              </w:rPr>
              <w:t>1</w:t>
            </w:r>
          </w:p>
        </w:tc>
        <w:tc>
          <w:tcPr>
            <w:tcW w:w="4186" w:type="dxa"/>
            <w:shd w:val="clear" w:color="auto" w:fill="auto"/>
            <w:vAlign w:val="center"/>
          </w:tcPr>
          <w:p w14:paraId="70229CA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双屏智慧黑板</w:t>
            </w:r>
          </w:p>
        </w:tc>
        <w:tc>
          <w:tcPr>
            <w:tcW w:w="953" w:type="dxa"/>
            <w:gridSpan w:val="2"/>
            <w:shd w:val="clear" w:color="auto" w:fill="auto"/>
            <w:noWrap/>
            <w:vAlign w:val="center"/>
          </w:tcPr>
          <w:p w14:paraId="0686039F">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224" w:type="dxa"/>
            <w:shd w:val="clear" w:color="auto" w:fill="auto"/>
            <w:noWrap/>
            <w:vAlign w:val="center"/>
          </w:tcPr>
          <w:p w14:paraId="60BAAFA4">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w:t>
            </w:r>
          </w:p>
        </w:tc>
        <w:tc>
          <w:tcPr>
            <w:tcW w:w="1224" w:type="dxa"/>
            <w:shd w:val="clear" w:color="auto" w:fill="auto"/>
            <w:noWrap/>
            <w:vAlign w:val="center"/>
          </w:tcPr>
          <w:p w14:paraId="2109A93B">
            <w:pPr>
              <w:widowControl/>
              <w:jc w:val="center"/>
              <w:rPr>
                <w:rFonts w:hint="eastAsia" w:ascii="宋体" w:hAnsi="宋体" w:eastAsia="宋体" w:cs="宋体"/>
                <w:color w:val="auto"/>
                <w:kern w:val="0"/>
                <w:sz w:val="24"/>
                <w:szCs w:val="24"/>
                <w:highlight w:val="yellow"/>
              </w:rPr>
            </w:pPr>
          </w:p>
        </w:tc>
      </w:tr>
      <w:tr w14:paraId="03E5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07" w:type="dxa"/>
            <w:shd w:val="clear" w:color="auto" w:fill="auto"/>
            <w:noWrap/>
            <w:vAlign w:val="center"/>
          </w:tcPr>
          <w:p w14:paraId="659E74DC">
            <w:pPr>
              <w:widowControl/>
              <w:jc w:val="center"/>
              <w:rPr>
                <w:rFonts w:hint="eastAsia" w:ascii="宋体" w:hAnsi="宋体" w:eastAsia="宋体" w:cs="宋体"/>
                <w:color w:val="auto"/>
                <w:kern w:val="0"/>
                <w:sz w:val="24"/>
                <w:szCs w:val="24"/>
              </w:rPr>
            </w:pPr>
          </w:p>
        </w:tc>
        <w:tc>
          <w:tcPr>
            <w:tcW w:w="4186" w:type="dxa"/>
            <w:shd w:val="clear" w:color="auto" w:fill="auto"/>
            <w:vAlign w:val="center"/>
          </w:tcPr>
          <w:p w14:paraId="36634B11">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（九）学生活动室（1#2#3#教学楼1F）</w:t>
            </w:r>
          </w:p>
        </w:tc>
        <w:tc>
          <w:tcPr>
            <w:tcW w:w="953" w:type="dxa"/>
            <w:gridSpan w:val="2"/>
            <w:shd w:val="clear" w:color="auto" w:fill="auto"/>
            <w:noWrap/>
            <w:vAlign w:val="center"/>
          </w:tcPr>
          <w:p w14:paraId="2BB9E11D">
            <w:pPr>
              <w:widowControl/>
              <w:jc w:val="center"/>
              <w:rPr>
                <w:rFonts w:hint="eastAsia" w:ascii="宋体" w:hAnsi="宋体" w:eastAsia="宋体" w:cs="宋体"/>
                <w:color w:val="auto"/>
                <w:kern w:val="0"/>
                <w:sz w:val="24"/>
                <w:szCs w:val="24"/>
                <w:highlight w:val="none"/>
              </w:rPr>
            </w:pPr>
          </w:p>
        </w:tc>
        <w:tc>
          <w:tcPr>
            <w:tcW w:w="1224" w:type="dxa"/>
            <w:shd w:val="clear" w:color="auto" w:fill="auto"/>
            <w:noWrap/>
            <w:vAlign w:val="center"/>
          </w:tcPr>
          <w:p w14:paraId="229688DF">
            <w:pPr>
              <w:widowControl/>
              <w:jc w:val="center"/>
              <w:rPr>
                <w:rFonts w:hint="eastAsia" w:ascii="宋体" w:hAnsi="宋体" w:eastAsia="宋体" w:cs="宋体"/>
                <w:color w:val="auto"/>
                <w:kern w:val="0"/>
                <w:sz w:val="24"/>
                <w:szCs w:val="24"/>
                <w:highlight w:val="none"/>
              </w:rPr>
            </w:pPr>
          </w:p>
        </w:tc>
        <w:tc>
          <w:tcPr>
            <w:tcW w:w="1224" w:type="dxa"/>
            <w:shd w:val="clear" w:color="auto" w:fill="auto"/>
            <w:noWrap/>
            <w:vAlign w:val="center"/>
          </w:tcPr>
          <w:p w14:paraId="5B65DFF3">
            <w:pPr>
              <w:widowControl/>
              <w:jc w:val="center"/>
              <w:rPr>
                <w:rFonts w:hint="eastAsia" w:ascii="宋体" w:hAnsi="宋体" w:eastAsia="宋体" w:cs="宋体"/>
                <w:color w:val="auto"/>
                <w:kern w:val="0"/>
                <w:sz w:val="24"/>
                <w:szCs w:val="24"/>
              </w:rPr>
            </w:pPr>
          </w:p>
        </w:tc>
      </w:tr>
      <w:tr w14:paraId="7178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jc w:val="center"/>
        </w:trPr>
        <w:tc>
          <w:tcPr>
            <w:tcW w:w="607" w:type="dxa"/>
            <w:shd w:val="clear" w:color="auto" w:fill="auto"/>
            <w:noWrap/>
            <w:vAlign w:val="center"/>
          </w:tcPr>
          <w:p w14:paraId="12E1EEE1">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4186" w:type="dxa"/>
            <w:shd w:val="clear" w:color="auto" w:fill="auto"/>
            <w:vAlign w:val="center"/>
          </w:tcPr>
          <w:p w14:paraId="48E1FE0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86寸智慧黑板</w:t>
            </w:r>
          </w:p>
        </w:tc>
        <w:tc>
          <w:tcPr>
            <w:tcW w:w="953" w:type="dxa"/>
            <w:gridSpan w:val="2"/>
            <w:shd w:val="clear" w:color="auto" w:fill="auto"/>
            <w:vAlign w:val="center"/>
          </w:tcPr>
          <w:p w14:paraId="253F13D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224" w:type="dxa"/>
            <w:shd w:val="clear" w:color="auto" w:fill="auto"/>
            <w:vAlign w:val="center"/>
          </w:tcPr>
          <w:p w14:paraId="574BD192">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1224" w:type="dxa"/>
            <w:shd w:val="clear" w:color="auto" w:fill="auto"/>
            <w:noWrap/>
            <w:vAlign w:val="center"/>
          </w:tcPr>
          <w:p w14:paraId="158C70C8">
            <w:pPr>
              <w:widowControl/>
              <w:jc w:val="center"/>
              <w:rPr>
                <w:rFonts w:hint="eastAsia" w:ascii="宋体" w:hAnsi="宋体" w:eastAsia="宋体" w:cs="宋体"/>
                <w:color w:val="auto"/>
                <w:kern w:val="0"/>
                <w:sz w:val="24"/>
                <w:szCs w:val="24"/>
              </w:rPr>
            </w:pPr>
          </w:p>
        </w:tc>
      </w:tr>
    </w:tbl>
    <w:p w14:paraId="7A009A8A">
      <w:pPr>
        <w:jc w:val="center"/>
        <w:rPr>
          <w:rFonts w:hint="eastAsia" w:ascii="宋体" w:hAnsi="宋体" w:eastAsia="宋体" w:cs="宋体"/>
          <w:b/>
          <w:bCs/>
          <w:color w:val="auto"/>
          <w:sz w:val="24"/>
          <w:szCs w:val="24"/>
          <w:highlight w:val="none"/>
          <w:lang w:val="en-US" w:eastAsia="zh-CN"/>
        </w:rPr>
      </w:pPr>
    </w:p>
    <w:p w14:paraId="6DC0D491">
      <w:pPr>
        <w:jc w:val="center"/>
        <w:rPr>
          <w:rFonts w:hint="eastAsia" w:ascii="宋体" w:hAnsi="宋体" w:eastAsia="宋体" w:cs="宋体"/>
          <w:b/>
          <w:bCs/>
          <w:color w:val="auto"/>
          <w:sz w:val="24"/>
          <w:szCs w:val="24"/>
          <w:highlight w:val="none"/>
          <w:lang w:val="en-US" w:eastAsia="zh-CN"/>
        </w:rPr>
      </w:pPr>
    </w:p>
    <w:p w14:paraId="5E3B6D8A">
      <w:pPr>
        <w:jc w:val="center"/>
        <w:rPr>
          <w:rFonts w:hint="eastAsia" w:ascii="宋体" w:hAnsi="宋体" w:eastAsia="宋体" w:cs="宋体"/>
          <w:b/>
          <w:bCs/>
          <w:color w:val="auto"/>
          <w:sz w:val="24"/>
          <w:szCs w:val="24"/>
          <w:highlight w:val="none"/>
          <w:lang w:val="en-US" w:eastAsia="zh-CN"/>
        </w:rPr>
      </w:pPr>
    </w:p>
    <w:p w14:paraId="344D4B1D">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1C08F61F">
      <w:pPr>
        <w:jc w:val="center"/>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二、设备明细及参数</w:t>
      </w:r>
    </w:p>
    <w:tbl>
      <w:tblPr>
        <w:tblStyle w:val="3"/>
        <w:tblW w:w="525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1"/>
        <w:gridCol w:w="1465"/>
        <w:gridCol w:w="4417"/>
        <w:gridCol w:w="592"/>
        <w:gridCol w:w="536"/>
        <w:gridCol w:w="1309"/>
      </w:tblGrid>
      <w:tr w14:paraId="36BA6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9A98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0469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设备名称</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A971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主要技术参数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A508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966D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F77A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13990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2568">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93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智慧黑板1</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55F68">
            <w:pPr>
              <w:keepNext w:val="0"/>
              <w:keepLines w:val="0"/>
              <w:widowControl/>
              <w:numPr>
                <w:ilvl w:val="0"/>
                <w:numId w:val="1"/>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屏体及触控技术要求：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1.屏体采用A规屏，显示尺寸≥86英寸，分辨率：3840×2160；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2.交互黑板整机采用一体化设计。</w:t>
            </w:r>
          </w:p>
          <w:p w14:paraId="3393DB36">
            <w:pPr>
              <w:keepNext w:val="0"/>
              <w:keepLines w:val="0"/>
              <w:widowControl/>
              <w:numPr>
                <w:ilvl w:val="0"/>
                <w:numId w:val="2"/>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触控分辨率32768×32768，在Windows与Android下均支持40点同时触控；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二、内置电脑模块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1、处理器性能：八核十二线程，主频不低于2.0GHz；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2、内存性能：8G内存或以上配置；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3、硬盘性能：存储空间256G SSD或以上配置；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三、课堂教学主机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1、RAM≥ 8GB，ROM≥ 128GB且可扩展至1TB及以上，CPU采用X86架构，CPU主频≥1.8GHZ。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2、内置无线AP，其中内置无线AP采用内置天线，无外置裸露天线，WiFi支持：IEEE 802.11 a/b/g/n/ac，工作频段：2.4GHz和5GHz，最大无线速率：1.3Gbps。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3、网络模式：需支持无线路由器、无线交换和网络终端三种网络模式。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4、主机接口：电源键 ×1，录制键 ×1；内置具备至少3个10/100/1000Mbps以太网RJ45数据接口，支持WAN口外接网线接入互联网，或LAN口外接网线输出网络数据；具备至少3个USB 接口，支持U盘、鼠标、键盘、摄像头的接入；具备至少1个HDMI输入接口，支持电脑、摄像头、实物展台等外部设备的有线接入；具备至少1个HDMI输出接口，支持输出到一体机、电视机等大屏端，HDMI输出适配：支持多种显示分辨率，主机可自动适配HDMI外接的大屏端分辨率，最高支持3840×2160分辨率；具备至少一路音频输入接口和一路音频输出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5、投屏距离：需支持远距离稳定流畅的无线投屏，投屏的最大传输距离不小于100m。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6、主机尺寸：长≤ 280mm、宽≤ 250mm、厚≤ 70mm；重量≤ 1.5KG。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7、主机采用低功耗安全电压设计，DC×1输入，12V-3A，支持上电自动开机功能，LED工作状态指示灯。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四、课堂教学系统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多媒体教学系统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1.中英文切换：系统支持简体中文和英文两种语言模式，可快速进行中英文的切换，满足双语教学的要求。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屏幕工具条：用户可直接在触控显示屏上点击系统工具条，或通过鼠标点击工具条进行操作，工具条具有截屏、录制、广播、布局、切屏、批注、白板、互动等功能按钮，并显示时间、设备名称、网络IP等信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软件遥控器：教学互动终端无需硬件遥控器或USB切换器，用户只需扫码下载遥控器APP即可将移动终端作为控制端，支持Windows、Android、iOS系统的设备安装控制端软件，可通过遥控器APP的拍照或拍视频功能，拍摄照片上传至屏幕，亦可录制视频上传至屏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4.全屏缩放：支持在遥控器APP端或触控显示屏端对显示画面进行缩小、放大操作，能够对单屏或多屏画面进行最大400%放大。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移动端无线投屏：支持不少于16路终端设备同时接入教学互动终端，支持AirPlay、Miracast、WIDI主流投屏协议，iOS、macOS、Android和Windows系统设备无需安装任何APP即可直接投屏，并可自由拖动画面位置，支持对设备画面进行静音、旋转、全屏、移除等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6.手写板投屏：支持手写板设备通过Wifi连接教学互动终端，手写板书写笔迹可实时呈现在显示屏，支持对手写板画面进行旋转、清屏、移除等操作。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文件读取：系统支持查看U盘、云盘、内置硬盘和遥控器APP上传的本地文件和云空间下载文件，可实现如下功能：支持将外接U盘中的图片、视频、音频、文档等文件资料直接上屏展示；支持通过截屏和录制将存储在图库（U盘、云盘、内置硬盘）中的图片、视频直接上屏展示；支持通过遥控器APP将手机/平板中的图片、视频、文档等本地文件上传至教学互动终端展示，支持通过遥控器APP使用手机/平板的相机拍摄照片或录制视频上传至教学互动终端展示；支持将从云空间下载到本地的图片、视频、音频、文档等文件资料直接上屏展示；支持将外接U盘中、遥控器APP上传的或云空间下载的PPT演示文稿以演讲模式进行放映，演讲模式下可实现PPT的动画效果和内嵌视频播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设备和文件分类：系统自动对设备（有线接入设备、无线投屏设备）、文件（U盘、云盘、内置硬盘、遥控器APP上传的本地文件和云空间下载文件）、分组（分组端教学互动终端）进行分类；支持对已连接的设备进行置顶、重命名、移动至分组等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9.一键截屏：支持一键截取当前屏幕的显示画面，截屏的图片可保存在外接U盘、云盘或内置硬盘中，支持将存储在外接U盘、云盘或内置硬盘中的图片下载到本地。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微课录制：支持屏幕多画面和外接麦克风声音同步录入，提供720P和1080P视频显示格式可选，录制的视频可保存在外接U盘、云盘或内置硬盘中，支持存储空间不足时的文字提醒功能；支持多种方式开启微课录制，如教学互动终端的“录制”按键、屏幕工具条的“录制”按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11.白板批注：系统提供画笔、宽度、板擦、清空、撤销、重做、聚焦、随写板等工具；支持普通画笔和荧光画笔书写，</w:t>
            </w:r>
            <w:r>
              <w:rPr>
                <w:rFonts w:hint="eastAsia" w:ascii="宋体" w:hAnsi="宋体" w:eastAsia="宋体" w:cs="宋体"/>
                <w:i w:val="0"/>
                <w:iCs w:val="0"/>
                <w:strike w:val="0"/>
                <w:dstrike w:val="0"/>
                <w:color w:val="auto"/>
                <w:kern w:val="0"/>
                <w:sz w:val="24"/>
                <w:szCs w:val="24"/>
                <w:highlight w:val="none"/>
                <w:u w:val="none"/>
                <w:lang w:val="en-US" w:eastAsia="zh-CN" w:bidi="ar"/>
              </w:rPr>
              <w:t>多</w:t>
            </w:r>
            <w:r>
              <w:rPr>
                <w:rFonts w:hint="eastAsia" w:ascii="宋体" w:hAnsi="宋体" w:eastAsia="宋体" w:cs="宋体"/>
                <w:i w:val="0"/>
                <w:iCs w:val="0"/>
                <w:color w:val="auto"/>
                <w:kern w:val="0"/>
                <w:sz w:val="24"/>
                <w:szCs w:val="24"/>
                <w:highlight w:val="none"/>
                <w:u w:val="none"/>
                <w:lang w:val="en-US" w:eastAsia="zh-CN" w:bidi="ar"/>
              </w:rPr>
              <w:t>种画笔颜色和圆形、长方形、三角形、六边形等图形类别，并支持选择画笔书写和图形绘制的线条宽度；支持板擦手势擦除或滑动擦除当前书写内容；支持一键清空、撤销或重做；</w:t>
            </w:r>
          </w:p>
          <w:p w14:paraId="6D0E8877">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12.App应用：支持第三方应用程序嵌入式安装在教学互动终端。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13.Web应用：支持添加第三方Web端网页链接。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14.设备监测：支持查看教学互动终端的内存、CPU、硬盘、网络等使用情况，还可支持详细查看视频质量和声音质量。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15.音量调节：支持对屏幕端音视频的一键静音和解除静音，关闭麦克风和打开麦克风，并可手动调节音量大小和选择声音输入输出设备，还可支持播放测试音和启用侦听。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反向控制：支持在触控显示屏上对HDMI有线接入的Windows电脑进行反向控制操作，支持无线投屏的部分Android、Windows设备进行反向控制操作，同时还支持在遥控器APP端或通过教学互动终端外接的鼠标进行反向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17.安全策略：支持设置随机PIN码和固定PIN码，移动端设备无线投屏或使用遥控器APP时均需输入对应的PIN码；还可支持设置管理员密码和密码提示信息，每次进入“设置”界面均需要输入管理员密码。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18.个性化设置：支持修改教学互动终端名称、设置开机画面壁纸、选择默认屏幕布局、开启辅助控制和首页展示遥控器APP二维码等功能。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课堂互动系统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1.上课登录：支持教师通过微信扫描二维码进行登录；支持教师输入账号和密码进行登录；支持教师以访客模式进行登录。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2.开启本地课堂：支持按照科目和班级开始上课，学生可使用反馈器、手写板和微信小程序参与对应班级的互动。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3.创建临时课堂：支持教师以访客模式创建临时课堂，学生无需登录账号即可通过微信小程序参与互动。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4.反馈器互动：支持学生反馈器手动签到，支持完成单选题、多选题、判断题、算术题的重复作答，系统自动生成多次答题的柱状图对比数据，支持教师端发起投票、挑人、抢答功能。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5.手写板互动：支持学生手写板开机后自动连接教学互动终端并自动签到，支持完成单选题、多选题、判断题、算术题、手写题的作答，支持教师端发起投票、挑人、抢答功能。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6.微信小程序互动：支持学生通过微信扫描二维码进入课堂并完成签到，支持完成单选题、多选题、判断题、算术题、简答题的作答，支持教师端发起投票、挑人功能。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7.云空间：支持﻿将存储在云平台的文件上屏展示、下载到本地或进行删除，文件内容可包含图片、视频、音频和文档，并具备1GB存储空间；支持在下载列表界面一键清空当前下载的文件。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8.课程报告：支持对学生签到信息、发起答题数量、出勤率、答题正确率进行统计，支持教师通过答题列表查看答题柱状图、查看题目和修改正确答案。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9.教师微信助手：支持使用教师端小程序发起单选题、多选题、判断题、算术题、手写题、简答题的作答和投票、挑人、抢答功能；还支持查看本地课堂和临时课堂的统计数据。</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A0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06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AD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0BCBF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B2C67">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FF1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智慧黑板2</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8234B">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一、屏体及触控技术要求：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1.屏体采用A规屏，显示尺寸≥86英寸，分辨率：3840×2160；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2.采用厚度≤3.2mm AG防眩钢化玻璃，玻璃硬度≥莫氏7级，可达到石英抗划等级，屏体表面强度≥100MPa；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3.触控分辨率32768×32768，在Windows与Android下均支持40点同时触控；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二、安全性要求：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1.采用物理防蓝光设计，无需其他操作即可实现防蓝光；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2.通过DC调光技术、直流信号控制背光亮度，实现稳定光源无频闪，摄像设备拍摄时画面无条纹闪烁；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3.可一键进行硬件系统检测，检测类型包括、屏体信息、屏体温度、CPU使用情况、内存使用情况、存储空间、固件版本信息、厂家信息、内置电脑序列号、显卡驱动等信息；可扫描系统提供的二维码进行报修；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4.内置电脑采用下插拔结构，无需拆卸显示屏及两侧书写板即可完成插拔操作；；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5.符合GB400700-2021视力防护标准。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三、教学要求：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1.整机前置接口：≥1路HDMI IN接口（非转接），≥2路USB3.0接口，≥1路USB Type-C接口（Type-C接口具备音频、视频、数据、触控、充电等功能，外接电脑可调用麦克风、音响、摄像头等使用权限）;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2.整机后置接口RJ45≥1路，音频输入≥1路，RS232≥1路，VGA输入接口≥1路；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3.无需打开背板，前置接口面板、前置按键面板、屏体主板、屏体电源板、扬声器分别可以单独前拆；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4.需具有前掀式维护功能，整体向上掀起角度不小于30°；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5.智能交互，通过按键实现录课、触控开关、音量调节、关闭窗口、恢复出厂设置、截屏、多任务、悬浮菜单自定义等功能；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6.智能交互黑板采用不低于12核国产化驱动芯片，</w:t>
            </w:r>
            <w:r>
              <w:rPr>
                <w:rFonts w:hint="eastAsia" w:ascii="宋体" w:hAnsi="宋体" w:eastAsia="宋体" w:cs="宋体"/>
                <w:i w:val="0"/>
                <w:iCs w:val="0"/>
                <w:strike w:val="0"/>
                <w:dstrike w:val="0"/>
                <w:color w:val="auto"/>
                <w:kern w:val="0"/>
                <w:sz w:val="24"/>
                <w:szCs w:val="24"/>
                <w:highlight w:val="none"/>
                <w:u w:val="none"/>
                <w:lang w:val="en-US" w:eastAsia="zh-CN" w:bidi="ar"/>
              </w:rPr>
              <w:t>内存≥4GB</w:t>
            </w:r>
            <w:r>
              <w:rPr>
                <w:rFonts w:hint="eastAsia" w:ascii="宋体" w:hAnsi="宋体" w:eastAsia="宋体" w:cs="宋体"/>
                <w:i w:val="0"/>
                <w:iCs w:val="0"/>
                <w:color w:val="auto"/>
                <w:kern w:val="0"/>
                <w:sz w:val="24"/>
                <w:szCs w:val="24"/>
                <w:highlight w:val="none"/>
                <w:u w:val="none"/>
                <w:lang w:val="en-US" w:eastAsia="zh-CN" w:bidi="ar"/>
              </w:rPr>
              <w:t>，存储≥32GB；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8.内置一体化超高清5K摄像头，；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9.内置的麦克风，拾音角度≥180°，可用于对教室环境音频进行采集，拾音距离≥</w:t>
            </w:r>
            <w:r>
              <w:rPr>
                <w:rFonts w:hint="eastAsia" w:ascii="宋体" w:hAnsi="宋体" w:eastAsia="宋体" w:cs="宋体"/>
                <w:i w:val="0"/>
                <w:iCs w:val="0"/>
                <w:strike w:val="0"/>
                <w:dstrike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highlight w:val="none"/>
                <w:u w:val="none"/>
                <w:lang w:val="en-US" w:eastAsia="zh-CN" w:bidi="ar"/>
              </w:rPr>
              <w:t>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10.可接入无线麦克风，通过黑板内置音箱扩声，通电不开机状态下也能使用无线麦克风通过本机音箱扩声；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11.智能交互黑板内置蓝牙模块，支持连接蓝牙音箱播放音频，工作距离可达到</w:t>
            </w:r>
            <w:r>
              <w:rPr>
                <w:rFonts w:hint="eastAsia" w:ascii="宋体" w:hAnsi="宋体" w:eastAsia="宋体" w:cs="宋体"/>
                <w:i w:val="0"/>
                <w:iCs w:val="0"/>
                <w:strike w:val="0"/>
                <w:dstrike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highlight w:val="none"/>
                <w:u w:val="none"/>
                <w:lang w:val="en-US" w:eastAsia="zh-CN" w:bidi="ar"/>
              </w:rPr>
              <w:t>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12.智能交互黑板内置Wi-Fi6无线网卡，在Android和Windows系统下，可实现Wi-Fi无线上网连接、AP无线热点发射且支持自定义设置热点名称和密码，在双系统下支持无线设备同时连接数量≥30个；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四、应用功能要求：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1.在任意信号源下，可调用快捷设置菜单；在同一界面下无需切换系统，可快速调节Windows 和Android 的设置，如声音、亮度、网络等；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2.支持快捷键单侧显示与双侧显示模式，可设置快捷键自动隐藏时间与自定义按键功能；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3.具有悬浮菜单，两指可快速调用悬浮菜单至屏幕任意位置，悬浮菜单可进行自定义分组；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4.通过手势操作在屏幕任意位置可调出多任务处理窗口，并对正在运行的应用进行浏览、快速切换或结束进程；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5.为节约用电，整机具备自动待机功能，在无操作或无信号输入时，自动进入待机节能状态；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6.为满足教学过程中多场景应用需求，智慧黑板可通过多指长按屏幕部分达到息屏及屏幕唤醒功能，可根据实际教学应用开启或关闭此功能；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7.通过多指滑动屏幕，可快速实现Windows与教学系统界面的切换；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五、内置电脑模块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1、处理器性能：八核十二线程，主频不低于2.0GHz；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2、内存性能：8G内存或以上配置；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3、硬盘性能：存储空间256G SSD或以上配置；</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1D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A3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7E3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65A87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69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303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一体机</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AC9B6">
            <w:pPr>
              <w:keepNext w:val="0"/>
              <w:keepLines w:val="0"/>
              <w:widowControl/>
              <w:numPr>
                <w:ilvl w:val="0"/>
                <w:numId w:val="3"/>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屏体及触控技术要求：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1、屏体采用A规屏，显示尺寸≥75 英寸，分辨率：3840×2160；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2、采用厚度≤3.2mm AG防眩钢化玻璃，玻璃硬度≥莫氏7级，可达到石英抗划等级，屏体表面强度≥100MPa；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3、触控分辨率32768×32768，在Windows与Android下均支持40点同时触控；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二、安全性要求：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1、采用物理防蓝光设计，无需其他操作即可实现防蓝光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2、通过DC调光技术、直流信号控制背光亮度，实现稳定光源无频闪，摄像设备拍摄时画面无条纹闪烁；</w:t>
            </w:r>
            <w:r>
              <w:rPr>
                <w:rFonts w:hint="eastAsia" w:ascii="宋体" w:hAnsi="宋体" w:eastAsia="宋体" w:cs="宋体"/>
                <w:i w:val="0"/>
                <w:iCs w:val="0"/>
                <w:strike/>
                <w:dstrike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嵌入式系统下可一键进行硬件系统检测（支持无PC状况下使用），检测类型包括设备类型、屏体信息、屏体温度、CPU使用情况、内存使用情况、存储空间、固件版本信息、厂家信息、内置电脑序列号、显卡驱动等信息；当检测出有问题时，可扫描系统提供的二维码进行报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三、教学要求：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1、整机前置接口：≥1路HDMI IN接口（非转接），≥2路USB3.0接口，≥1路USB Type-C接口；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2、整机后置接口RJ45≥1路，音频输入≥1路，RS232≥1路，VGA输入接口≥1路，≥1路HDMI IN；</w:t>
            </w:r>
          </w:p>
          <w:p w14:paraId="033AF4CD">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3、无需打开智能交互平板背板，前置接口面板和前置按键面板支持单独前拆；</w:t>
            </w:r>
            <w:r>
              <w:rPr>
                <w:rFonts w:hint="eastAsia" w:ascii="宋体" w:hAnsi="宋体" w:eastAsia="宋体" w:cs="宋体"/>
                <w:i w:val="0"/>
                <w:iCs w:val="0"/>
                <w:strike/>
                <w:dstrike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4、智能交互平板，通过按键实现录课、触控开关、音量调节、关闭窗口、恢复出厂设置、截屏、多任务、悬浮菜单自定义等功能；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5、智能交互平板采用不低于12核国产化驱动芯片，内存≥2GB，存储≥8GB；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6、内置一体化超高清5K摄像头；</w:t>
            </w:r>
            <w:r>
              <w:rPr>
                <w:rFonts w:hint="eastAsia" w:ascii="宋体" w:hAnsi="宋体" w:eastAsia="宋体" w:cs="宋体"/>
                <w:i w:val="0"/>
                <w:iCs w:val="0"/>
                <w:strike/>
                <w:dstrike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7、内置非独立外扩展的4阵列麦克风，拾音角度≥180°，可用于对教室环境音频进行采集，拾音距离≥</w:t>
            </w:r>
            <w:r>
              <w:rPr>
                <w:rFonts w:hint="eastAsia" w:ascii="宋体" w:hAnsi="宋体" w:eastAsia="宋体" w:cs="宋体"/>
                <w:i w:val="0"/>
                <w:iCs w:val="0"/>
                <w:strike w:val="0"/>
                <w:dstrike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highlight w:val="none"/>
                <w:u w:val="none"/>
                <w:lang w:val="en-US" w:eastAsia="zh-CN" w:bidi="ar"/>
              </w:rPr>
              <w:t>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8、可接入无线麦克风，通过平板内置音箱扩声，通电不开机状态下也能使用无线麦克风通过本机音箱扩声；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9、智能交互平板内置蓝牙模块，支持连接外部蓝牙音箱播放音频；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10、智能交互平板内置Wi-Fi6无线网卡，在Android和Windows系统下，可实现Wi-Fi无线上网连接、AP无线热点发射且支持自定义设置热点名称和密码，在双系统下支持无线设备同时连接数量≥30个；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四、应用功能要求：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1、在任意信号源下，可调用快捷设置菜单；在同一界面下无需切换系统，可快速调节Windows 和Android 的设置，如声音、亮度、网络等；(投标文件中须第三方有权检测机构出具的带有 CNAS 或 CMA 标志的检测报告)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2、支持快捷键单侧显示与双侧同时显示模式，可设置快捷键自动隐藏时间与自定义按键功能；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3、具有悬浮菜单，两指可快速调用悬浮菜单至按压位置，悬浮菜单可进行自定义分组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Android、IOS、Windows系统的投屏画面，可支持不少于6个终端设备同时投屏，并自动分屏排布，可将任意一路画面全屏播放，并支持所投视频音频同时播放；支持多手机同时连接交互显示设备，可设置指定设备为主控设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5、通过手势操作在屏幕任意位置可调出多任务处理窗口，并对正在运行的应用进行浏览、快速切换或结束进程；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6、为节约用电，整机具备自动待机功能，在无操作或无信号输入时，自动进入待机节能状态，时间间隔可自定义；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7、支持多种方式进行屏幕下移，屏幕下移后仍可进行触控、书写等操作；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8、通过多指滑动屏幕，可快速实现Windows与教学系统界面的切换；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9、智能交互平板触摸支持动态压力模拟，支持无任何电子功能的普通书写笔，在交互平板上书写或点压时，整机能感应压力变化，书写或点压过程笔迹呈现不同粗细；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五、内置电脑模块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1、处理器性能：八核十二线程，主频不低于2.0GHz；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2、内存性能：8G内存或以上配置；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3、硬盘性能：存储空间256G SSD或以上配置；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w:t>
            </w:r>
            <w:r>
              <w:rPr>
                <w:rFonts w:hint="eastAsia" w:ascii="宋体" w:hAnsi="宋体" w:eastAsia="宋体" w:cs="宋体"/>
                <w:i w:val="0"/>
                <w:iCs w:val="0"/>
                <w:strike/>
                <w:dstrike w:val="0"/>
                <w:color w:val="auto"/>
                <w:kern w:val="0"/>
                <w:sz w:val="24"/>
                <w:szCs w:val="24"/>
                <w:highlight w:val="none"/>
                <w:u w:val="none"/>
                <w:lang w:val="en-US" w:eastAsia="zh-CN" w:bidi="ar"/>
              </w:rPr>
              <w:t xml:space="preserve"> </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881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22D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E64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舞蹈教室</w:t>
            </w:r>
          </w:p>
        </w:tc>
      </w:tr>
      <w:tr w14:paraId="1ADDB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C8E6">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4</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D75A1">
            <w:pPr>
              <w:widowControl/>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100寸交互一体机</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top"/>
          </w:tcPr>
          <w:p w14:paraId="5510A836">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一、硬件参数：</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1.屏幕显示尺寸≥100寸，液晶显示屏幕采用A规液晶面板。</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2.显示比例16:9。</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3.亮度≥350cd/㎡，动态对比度≥1200：1。</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4.内置安卓嵌入式系统，CPU≥4核，GPU≥2核。机身内存≥32G ROM，运行内存≥4G RAM。</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5.支持自动感光调节亮度功能。</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6.采用红外触控方式，全通道支持≥10点触摸，最大支持≥20点触摸，从内部Android通道切换到内部PC通道后，触摸框在1s内达到可触控状态。从内部PC通道切换到外部通道后，触摸框在2s内达到可触控状态。</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7.整机内置2.0声道扬声器，位于设备下边框出音，15W全频扬声器2个，总功率30W；</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8.整机采用内置广角摄像头，像素≥4800万，具备摄像头工作指示灯，摄像头运行时，有指示灯提示；</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9. 采用红外触控方式，全通道支持≥10点触摸，最大支持≥20点触摸</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10.整机支持HID 免驱协议，Windows7/8/10/Mac OS/Linux/国产化系统下，自动识别，无需额外安装驱动程序。定位精度≤±1mm，最小识别直径≤3mm，书写高度≤2mm，触摸响应时间≤2ms。</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二、电子白板</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1.支持书写、擦除、选择、撤销、工具、添加、翻页、分享、退出等功能。</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2.支持多指书写≥20点。</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3.支持书写设置、书写背景、扫码网络。</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4.支持多人书写、图标绘制（手绘图形）、文本识别（手写转标准字）。</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5.支持颜色选择、网格背景选择和添加自定义背景图片。</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三、无线投屏</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1.投屏响应时间≤3ms，其它终端抢占当前投屏界面的响应时间≤2ms，在Windows和Mac OS系统下，支持10点的触摸反向控制功能。</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2.支持将 iOS、Android、Windows、macOS等系统的画面无线传送至智能交互平板，且传屏的同时支持从智能交互平板反向触控电脑设备（Windows）的画面，</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四、OPS电脑：</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1.一体机采用抽拉式模块化电脑，采用标准 JAE-80PIN 连接器件模块化设计，标准80针接口，外部无任何连线，支持快速拆卸。</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2.内存：8G DDR4；固态硬盘：256G SSD固态硬盘；内置WIFI模块。</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3.支持 windows系统具备一键还原功能，含有防盗锁控。</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550C2">
            <w:pPr>
              <w:widowControl/>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7E27">
            <w:pPr>
              <w:widowControl/>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D39C5">
            <w:pPr>
              <w:widowControl/>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4F教研活动室、8F会议室（烛光楼）</w:t>
            </w:r>
          </w:p>
        </w:tc>
      </w:tr>
      <w:tr w14:paraId="4E7FB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69CF3">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5</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93F55">
            <w:pPr>
              <w:widowControl/>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86寸交互一体机</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top"/>
          </w:tcPr>
          <w:p w14:paraId="133EFDAF">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一、显示屏参数</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1.采用A规液晶显示屏，LED背光，屏幕尺寸≥86英寸，超高清4K， 显示分辨率≥3840×2160，刷新率≥60Hz，显示比例16:9 。</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2.整机亮度：≥350cd/m²，对比度：≥4000:1，整机显示采用高色域技术，色域NTSC≥72%。</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3.整机采用硬件低蓝光背光技术和无频闪设计。</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二、整机规格参数</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1.CPU采用64位四核处理器，内存不低于4GB DDR4，存储不低于32GB。</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2.整机前置接口需具备：USB3.0，HDMI，Type-C，且具备中文标识。前置接口具备防撞设计。</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4.内置不低于2.0声道音箱，包含低音单元，额定总功率不低于30W。</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5.支持单独听功能，显示屏熄屏关闭后，在黑屏状态下，可进行音频播放。</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6.无需借助PC，内置专业硬件自检维护工具，不接受第三方工具，可一键进行硬件自检，包括但不限于对OPS电脑状态、网络状态、光强感应进行检测和故障提示。</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7.支持将整机从上向下划动时进入降屏状态，点击屏幕可快速恢复全屏状</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态。</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8、支持任意通道下（不仅限于Android、Windows、HDMI、Type-C），可以在任意通道任意画面任意软件所有显示内容下实现画面纹理的实时调整；支持纸质纹理：支持纹理强度调节；支持色温调节。</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三、触控参数</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1.触控技术：安卓系统和 Windows 系统下均支持不小于 40 点触控，无需安装驱动和校准定位。</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四、摄像头和拾音麦</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1.整机内置高清摄像头，不低于1300万像素，整机支持输出摄像头视场角≥120度。</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2.整机内置非独立外扩展的不低于6阵列降噪麦克风，回音消除，可识别距离不小于12米，拾音角度≥180 度。</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五、安卓白板软件</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1.使用白板软件时，可根据用户书写操作智能调节屏幕亮度。</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2.支持智能工具箱，可选择思维导图、计算器、聚光灯、便签、分屏等多种小工具。</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六、内置OPS电脑需求</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.内置OPS电脑采用抽拉式模块化设计，无任何外接电源线和信号线，方便检测维护;</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.8GB DDR4及以上内存；256G SSD及以上硬盘</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47CB3">
            <w:pPr>
              <w:widowControl/>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0AF6">
            <w:pPr>
              <w:widowControl/>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台</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C48BF">
            <w:pPr>
              <w:widowControl/>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4F教研活动室、8F党建会议室（烛光楼）</w:t>
            </w:r>
          </w:p>
        </w:tc>
      </w:tr>
      <w:tr w14:paraId="12AD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352" w:type="pct"/>
            <w:shd w:val="clear" w:color="auto" w:fill="auto"/>
            <w:noWrap/>
            <w:vAlign w:val="center"/>
          </w:tcPr>
          <w:p w14:paraId="375B74C0">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6</w:t>
            </w:r>
          </w:p>
        </w:tc>
        <w:tc>
          <w:tcPr>
            <w:tcW w:w="818" w:type="pct"/>
            <w:shd w:val="clear" w:color="auto" w:fill="auto"/>
            <w:vAlign w:val="center"/>
          </w:tcPr>
          <w:p w14:paraId="4A9AC77C">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双屏智慧黑板</w:t>
            </w:r>
          </w:p>
        </w:tc>
        <w:tc>
          <w:tcPr>
            <w:tcW w:w="2467" w:type="pct"/>
            <w:shd w:val="clear" w:color="auto" w:fill="auto"/>
          </w:tcPr>
          <w:p w14:paraId="2EE3C2CE">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1.智能交互黑板显示尺寸≥98英寸，分辨率：3840</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2160，采用电容触控技术，在双系统下均支持40点同时触控；</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2.智能交互黑板整机采用三段式一体化结构设计，长度≥4700mm ；</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3.智能交互黑板表面玻璃应采用高强度钢化玻璃，玻璃厚度≤3.2mm</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strike/>
                <w:color w:val="auto"/>
                <w:kern w:val="0"/>
                <w:sz w:val="24"/>
                <w:szCs w:val="24"/>
                <w:highlight w:val="none"/>
              </w:rPr>
              <w:br w:type="textWrapping"/>
            </w:r>
            <w:r>
              <w:rPr>
                <w:rFonts w:hint="eastAsia" w:ascii="宋体" w:hAnsi="宋体" w:eastAsia="宋体" w:cs="宋体"/>
                <w:color w:val="auto"/>
                <w:kern w:val="0"/>
                <w:sz w:val="24"/>
                <w:szCs w:val="24"/>
                <w:highlight w:val="none"/>
              </w:rPr>
              <w:t>5.智能交互黑板前面板至少具备1路HDMI接口（非转接），2路USB3.0接口，1路全功能Type-C接口，全功能接口具备音频、视频、数据、触控、充电等功能，外接电脑可调用屏体麦克风、音响、摄像头等数据；</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6.智能交互黑板后置标配VGA输入≥1路，HDMIout≥1路，HDMI输入≥1路；</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8.智能交互黑板内置WiFi6无线网卡，在Android和Windows系统下，可实现Wi-Fi无线上网连接、AP无线热点发射；</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9.整机内置蓝牙模块，支持连接外部蓝牙音箱播放音频；</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.智能交互黑板具备针孔电脑还原按键；</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.智能交互黑板具备≥12核芯片驱动，内存≥8G，存储≥64G；</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14.★内置一体化超高清5K摄像头，单颗摄像头有效像素≥1900W，可输出最大分辨率5104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3864的图片与视频，支持搭配AI软件实现自动点名点数功能（需提供第三方检测机构出具的带有CMA或CNAS标识的检测报告）；</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15.智能交互黑板左右两侧可提供与教学应用密切相关的快捷键，并支持自定义设置：时间，显示模式，单侧显示、双侧同时显示</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16.智能交互黑板具有悬浮菜单，悬浮菜单可进行自定义分组</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strike/>
                <w:color w:val="auto"/>
                <w:kern w:val="0"/>
                <w:sz w:val="24"/>
                <w:szCs w:val="24"/>
                <w:highlight w:val="none"/>
              </w:rPr>
              <w:br w:type="textWrapping"/>
            </w:r>
            <w:r>
              <w:rPr>
                <w:rFonts w:hint="eastAsia" w:ascii="宋体" w:hAnsi="宋体" w:eastAsia="宋体" w:cs="宋体"/>
                <w:color w:val="auto"/>
                <w:kern w:val="0"/>
                <w:sz w:val="24"/>
                <w:szCs w:val="24"/>
                <w:highlight w:val="none"/>
              </w:rPr>
              <w:t>17.智能交互黑板采用硬件低蓝光背光技术</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18.智能交互黑板背光系统支持DC调光方式，多级亮度调节；</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19.智能交互黑板全通道支持纸质护眼模式，可实现画面纹理的实时调整 支持纸质纹理：素描纸、宣纸、水彩纸；支持透明度调节与色温调节；显示画面各像素点灰度不规则，减少背景干扰；</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20.通过抓取屏幕任意位置可调出多任务处理窗口，并对正在运行的应用进行浏览、快速切换或结束进程；</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21.在任意信号源下，从屏幕下方任意位置向上滑动，可调用快捷设置菜单无需切换系统，可快速调节Windows 和Android 的设置，并支持拖拽到屏幕任意位置；</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22.智能交互黑板采用OPS-C 标准的80pin针口设计</w:t>
            </w:r>
            <w:r>
              <w:rPr>
                <w:rFonts w:hint="eastAsia" w:ascii="宋体" w:hAnsi="宋体" w:eastAsia="宋体" w:cs="宋体"/>
                <w:strike/>
                <w:color w:val="auto"/>
                <w:kern w:val="0"/>
                <w:sz w:val="24"/>
                <w:szCs w:val="24"/>
                <w:highlight w:val="none"/>
              </w:rPr>
              <w:br w:type="textWrapping"/>
            </w:r>
            <w:r>
              <w:rPr>
                <w:rFonts w:hint="eastAsia" w:ascii="宋体" w:hAnsi="宋体" w:eastAsia="宋体" w:cs="宋体"/>
                <w:color w:val="auto"/>
                <w:kern w:val="0"/>
                <w:sz w:val="24"/>
                <w:szCs w:val="24"/>
                <w:highlight w:val="none"/>
              </w:rPr>
              <w:t>23.内置OPS配置不低于6核处理器，8G内存，256G硬盘</w:t>
            </w:r>
          </w:p>
        </w:tc>
        <w:tc>
          <w:tcPr>
            <w:tcW w:w="330" w:type="pct"/>
            <w:shd w:val="clear" w:color="auto" w:fill="auto"/>
            <w:noWrap/>
            <w:vAlign w:val="center"/>
          </w:tcPr>
          <w:p w14:paraId="72B51BB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99" w:type="pct"/>
            <w:shd w:val="clear" w:color="auto" w:fill="auto"/>
            <w:noWrap/>
            <w:vAlign w:val="center"/>
          </w:tcPr>
          <w:p w14:paraId="28F6501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w:t>
            </w:r>
          </w:p>
        </w:tc>
        <w:tc>
          <w:tcPr>
            <w:tcW w:w="731" w:type="pct"/>
            <w:shd w:val="clear" w:color="auto" w:fill="auto"/>
            <w:noWrap/>
            <w:vAlign w:val="center"/>
          </w:tcPr>
          <w:p w14:paraId="0C6B7D2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合班教室（1#2#3#教学楼1F）</w:t>
            </w:r>
          </w:p>
        </w:tc>
      </w:tr>
      <w:tr w14:paraId="0110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352" w:type="pct"/>
            <w:shd w:val="clear" w:color="auto" w:fill="auto"/>
            <w:noWrap/>
            <w:vAlign w:val="center"/>
          </w:tcPr>
          <w:p w14:paraId="36FC1066">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7</w:t>
            </w:r>
          </w:p>
        </w:tc>
        <w:tc>
          <w:tcPr>
            <w:tcW w:w="818" w:type="pct"/>
            <w:shd w:val="clear" w:color="auto" w:fill="auto"/>
            <w:vAlign w:val="center"/>
          </w:tcPr>
          <w:p w14:paraId="7F0DF78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86寸智慧黑板</w:t>
            </w:r>
          </w:p>
        </w:tc>
        <w:tc>
          <w:tcPr>
            <w:tcW w:w="2467" w:type="pct"/>
            <w:shd w:val="clear" w:color="auto" w:fill="auto"/>
            <w:vAlign w:val="center"/>
          </w:tcPr>
          <w:p w14:paraId="55DE44D8">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一、屏体及触控技术要求</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1.智能交互黑板显示尺寸≥86英寸，刷新率：120Hz，分辨率：3840</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2160，采用电容触控技术，在双系统下均支持50点触控及50点书写划线。</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2.智能交互黑板表面玻璃采用高强度钢化玻璃，AG防眩光，厚度≤3.2mm，硬度≥莫氏7级，石墨硬度≥9H。</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二、安全及能效要求</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1.智能交互黑板背光系统支持DC调光方式，多级亮度调节，拍摄时画面无条纹闪烁。光源稳定无频闪，防止眼睛疲劳。</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2.符合《GB 40070-2021儿童青少年学习用品近视防控卫生要求》。</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3.智能交互黑板全通道支持护眼模式</w:t>
            </w:r>
            <w:r>
              <w:rPr>
                <w:rFonts w:hint="eastAsia" w:ascii="宋体" w:hAnsi="宋体" w:eastAsia="宋体" w:cs="宋体"/>
                <w:strike/>
                <w:color w:val="auto"/>
                <w:kern w:val="0"/>
                <w:sz w:val="24"/>
                <w:szCs w:val="24"/>
                <w:highlight w:val="none"/>
              </w:rPr>
              <w:br w:type="textWrapping"/>
            </w:r>
            <w:r>
              <w:rPr>
                <w:rFonts w:hint="eastAsia" w:ascii="宋体" w:hAnsi="宋体" w:eastAsia="宋体" w:cs="宋体"/>
                <w:color w:val="auto"/>
                <w:kern w:val="0"/>
                <w:sz w:val="24"/>
                <w:szCs w:val="24"/>
                <w:highlight w:val="none"/>
              </w:rPr>
              <w:t>4.智能交互黑板可进行硬件自检，包括对系统内存、存储、触控系统、光感系统、内置电脑、屏体信息、主板型号、CPU型号、CPU使用率、设备名称等进行状态提示及故障提示。</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5.依据GB 21520-2023标准，能效等级达到1级。</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6.智能交互黑板具备屏体温度实时监控、高温预警及断电保护等功能。</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三、教学要求</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1.智能交互黑板前置面板至少具备1路HDMI接口（非转接），2路USB3.0接口，1路全功能的Type-C接口（全功能接口具备音频、4K视频、数据、触控、充电等功能，外接电脑可调用屏体麦克风、音响、摄像头等数据）。</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2.为方便用户外接拓展设备，智能交互黑板后置标配非扩展 HDMI输入≥2路，HDMI输出≥1路（支持安卓及其他通道信号输出）。</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3.智能交互黑板具有通屏笔槽结构，可放置书写笔、粉笔、水性笔等，笔槽具有漏灰孔设计。</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4.为方便维护，智能交互黑板具有前掀式维护功能，主屏向上掀起角度≥30°。</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6.前置按键采用钢琴式按键设计，向上倾斜，提升直立可视角度，符合人体工学。</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8.智能交互黑板采用≥12核国产化驱动芯片，8核CPU、4核GPU。内存≥4G，存储≥32G。</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9.采用针孔阵列发声设计，2.2声道，下边框具有6个发声单元，最大功率≥80W, 扬声器在100%音量下，1米处声压级≥90dB，10米处声压级≥80dB；最低谐振频率不高于100Hz。</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10.内置一体化超高清5K摄像头，单颗摄像头有效像素≥1900W，可输出最大分辨率5104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3864的图片与视频，支持搭配AI软件实现自动点名点数功能，支持远程巡课功能，具备指示灯工作状态提示。</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11.智能交互黑板内置8阵列麦克风，拾音角度≥180°，可用于对教室环境音频进行采集。</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12.智能交互黑板具备前置电脑还原按键，为避免误碰按键采用针孔式设计。</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13.只需一根网线连接，即可实现Windows和Andriod双系统同时上网。</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14.具备无线（包括Wi-Fi和Bluetooth蓝牙）独立模块，支持单独拆卸。</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15.智能交互黑板内置Wi-Fi6无线网卡，支持2.4G、5G双频，支持无线设备同时连接数量≥20个。在Android连接Wi-Fi上网（STA）的情况下，Windows会同步连接网络。Android下支持自定义AP无线热点名称和密码，满足IEEE802.11a\b\g\n\ac\ax wave2协议标准，实现无线信号的中继和桥接，扩大无线网络的覆盖范围，适应不同教学需求和环境。</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16.无需打开智能交互黑板背板，前置接口面板支持单独前拆维护。</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四、应用功能要求</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1.智能交互黑板左右两侧可提供与教学应用密切相关的快捷键，并支持自定义设置显示时间，显示模式，支持单侧显示、双侧同时显示，该快捷键至少具有关闭窗口、展台、桌面、多屏互动等教学常用按键。</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2.在任意信号源下，从屏幕下方任意位置向上滑动，可调用快捷设置菜单无需切换系统，可快速调节Windows 和Android 的设置，并支持拖拽到屏幕任意位置。</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3.智能交互黑板具有悬浮菜单</w:t>
            </w:r>
            <w:r>
              <w:rPr>
                <w:rFonts w:hint="eastAsia" w:ascii="宋体" w:hAnsi="宋体" w:eastAsia="宋体" w:cs="宋体"/>
                <w:strike/>
                <w:color w:val="auto"/>
                <w:kern w:val="0"/>
                <w:sz w:val="24"/>
                <w:szCs w:val="24"/>
                <w:highlight w:val="none"/>
              </w:rPr>
              <w:br w:type="textWrapping"/>
            </w:r>
            <w:r>
              <w:rPr>
                <w:rFonts w:hint="eastAsia" w:ascii="宋体" w:hAnsi="宋体" w:eastAsia="宋体" w:cs="宋体"/>
                <w:color w:val="auto"/>
                <w:kern w:val="0"/>
                <w:sz w:val="24"/>
                <w:szCs w:val="24"/>
                <w:highlight w:val="none"/>
              </w:rPr>
              <w:t>4.支持智能手势，可实现悬浮窗快速调用、屏幕息屏或亮屏、屏幕下移、多任务等功能，方便教学操作。</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5.为节约用电，具备自动待机功能，在无操作或无信号输入时，自动进入待机节能状态，时间间隔可自定义。</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6.智能节电，可自定义设置，在无操作或无信号输入15分钟或更长时间,出现关机提示倒计时。</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7.智能交互黑板处于关机通电状态，外接电脑、机顶盒等设备接入交互黑板时，智能交互黑板可识别到外接设备的输入信号后自动开机。</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8.智能交互黑板具备锁屏功能，支持密码锁屏方式。</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9.可自动识别新接入的信号源，并自动切换到该信号源显示，在断开连接后，弹出确认返回之前信号源。</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10.智能交互黑板支持远程升级，及时给用户推送新版应用。</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11.安卓界面采用4K UI设计，图标与按钮边角显示无锯齿，字体渲染平滑，提升用户体验。12.无PC状态下，安卓系统支持白板授课，可以实现书写、擦除、撤销、恢复、插入工具及分享等多项功能，同时支持对白板进行初始设置，如背景、笔迹颜色、粗细及橡皮等功能的预设。</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13.无PC状态下，白板背景支持颜色背景和图案背景设置，颜色背景提供预设颜色，并支持自定义更多颜色；同时支持用户自定义背景图案。</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15.无PC状态下，白板支持漫游功能，可无限延伸白板空间，满足更大空间的板书需求。在漫游功能下，支持对当前页面进行自由缩放，双击漫游可一键恢复画布至原始位置和大小。</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16.无PC状态下，白板支持背景漫游设置：白板上批注书写的内容既可与背景画布同步无限漫游，也可设置为批注内容独立漫游而背景画布保持固定，以满足不同的场景使用。</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17.无PC状态下，白板支持通过二维码分享内容，可选择全部或部分页面进行分享，格式涵盖PNG、JPEG、PDF等多种选项，支持加密分享功能，确保信息安全；支持一键将内容保存到外接U盘。</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18.无PC状态下，白板支持手写识别功能，可以将手写文字、句子识别为印刷体，支持多种语言。此外，还可以下载更多语言包进行识别，满足多语言教学需求。识别后的内容支持多种编辑操作，包括颜色修改、复制、剪切、图层置顶、图层置底、删除、锁定，以及一键转至会议纪要等功能。</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19.无PC状态下，白板具备会议纪要功能，支持手写输入文本，每项会议纪要都能根据笔迹书写范围和文本内容自动调整窗口大小，灵活适应。书写笔迹可轻松使用橡皮擦进行擦除，每项会议纪要可随意删除或调整顺序。会议纪要支持一键生成二维码分享，扫码即可快速获取内容，且扫码显示的会议纪要内容会自动过滤空白项。</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20.无PC状态下，白板具备智能图形识别功能，能够自动识别绘制的矩形、三角形、圆形、椭圆形、箭头等不少于5种常见平面图形。识别后的图形支持颜色修改、复制、剪切、图层置顶、图层置底、删除、锁定等功能。</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21.无PC状态下，白板具备批注和擦除功能，支持硬笔、软笔、荧光笔等多种笔型选择，支持笔迹颜色和粗细设置。支持橡皮擦、选中文字擦除以及一键清页功能，进行一键清页操作时会有二次确认提示，有效避免误操作。</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22.无PC状态下，白板支持二维及三维图形的灵活调用，支持设置图形的线条颜色和填充颜色，可以对线条和填充颜色的透明度进行设置。</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23.无PC状态下，白板支持插入文档、文本框、便利贴、图片、浏览器、尺子、表格、思维导图、会议纪要、截屏等多种教学辅助工具，支持通过手写添加便利贴内容，移动便利贴时，所写内容会随便利贴同步移动。</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24.无PC状态下，白板支持页面预览功能，可一键全选所有页面或单独选择特定页面进行保存。</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五、侧板</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1.支持磁性材质教具吸附。</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2.板面光泽度需符合 GB28231-2011 标准，不高于8光泽度以免产生眩光。</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六、内置电脑</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1.采用80 Pin通用标准接口，模块化即插即用，易于维护；</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2.CPU采用不低于6核；</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3.内存：≥8G DDR4；</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4.硬盘：≥256G SSD固态硬盘；</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5.接口：非外扩展具备6个USB接口（其中包含3路USB 3.0），具有独立非外扩展的视频输出接口：≥1路HDMI；</w:t>
            </w:r>
          </w:p>
        </w:tc>
        <w:tc>
          <w:tcPr>
            <w:tcW w:w="330" w:type="pct"/>
            <w:shd w:val="clear" w:color="auto" w:fill="auto"/>
            <w:vAlign w:val="center"/>
          </w:tcPr>
          <w:p w14:paraId="4B03F8E5">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99" w:type="pct"/>
            <w:shd w:val="clear" w:color="auto" w:fill="auto"/>
            <w:vAlign w:val="center"/>
          </w:tcPr>
          <w:p w14:paraId="72704EA4">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31" w:type="pct"/>
            <w:shd w:val="clear" w:color="auto" w:fill="auto"/>
            <w:noWrap/>
            <w:vAlign w:val="center"/>
          </w:tcPr>
          <w:p w14:paraId="5985E78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学生活动室（1#2#3#教学楼1F）</w:t>
            </w:r>
          </w:p>
        </w:tc>
      </w:tr>
    </w:tbl>
    <w:p w14:paraId="5F73D478">
      <w:pPr>
        <w:numPr>
          <w:ilvl w:val="0"/>
          <w:numId w:val="0"/>
        </w:numPr>
        <w:rPr>
          <w:rFonts w:hint="eastAsia" w:ascii="宋体" w:hAnsi="宋体" w:eastAsia="宋体" w:cs="宋体"/>
          <w:i w:val="0"/>
          <w:iCs w:val="0"/>
          <w:color w:val="auto"/>
          <w:kern w:val="0"/>
          <w:sz w:val="24"/>
          <w:szCs w:val="24"/>
          <w:highlight w:val="none"/>
          <w:u w:val="none"/>
          <w:lang w:val="en-US" w:eastAsia="zh-CN" w:bidi="ar"/>
        </w:rPr>
      </w:pPr>
    </w:p>
    <w:p w14:paraId="62E5A172">
      <w:pPr>
        <w:spacing w:line="360" w:lineRule="auto"/>
        <w:ind w:firstLine="437"/>
        <w:outlineLvl w:val="9"/>
        <w:rPr>
          <w:rFonts w:hint="eastAsia" w:ascii="宋体" w:hAnsi="宋体" w:eastAsia="宋体" w:cs="宋体"/>
          <w:b/>
          <w:bCs/>
          <w:color w:val="auto"/>
          <w:sz w:val="24"/>
          <w:szCs w:val="24"/>
        </w:rPr>
      </w:pPr>
    </w:p>
    <w:p w14:paraId="3D00E948">
      <w:pPr>
        <w:spacing w:line="360" w:lineRule="auto"/>
        <w:ind w:firstLine="437"/>
        <w:outlineLvl w:val="1"/>
        <w:rPr>
          <w:rFonts w:hint="eastAsia" w:ascii="宋体" w:hAnsi="宋体" w:eastAsia="宋体" w:cs="宋体"/>
          <w:b/>
          <w:bCs/>
          <w:color w:val="auto"/>
          <w:sz w:val="24"/>
          <w:szCs w:val="24"/>
        </w:rPr>
      </w:pPr>
      <w:bookmarkStart w:id="3" w:name="_Toc7421"/>
      <w:bookmarkStart w:id="4" w:name="_Toc7006"/>
      <w:bookmarkStart w:id="5" w:name="_Toc4843"/>
      <w:r>
        <w:rPr>
          <w:rFonts w:hint="eastAsia" w:ascii="宋体" w:hAnsi="宋体" w:eastAsia="宋体" w:cs="宋体"/>
          <w:b/>
          <w:bCs/>
          <w:color w:val="auto"/>
          <w:sz w:val="24"/>
          <w:szCs w:val="24"/>
        </w:rPr>
        <w:t>三、报价要求</w:t>
      </w:r>
      <w:bookmarkEnd w:id="3"/>
      <w:bookmarkEnd w:id="4"/>
      <w:bookmarkEnd w:id="5"/>
    </w:p>
    <w:p w14:paraId="26C4ABE0">
      <w:pPr>
        <w:spacing w:line="360" w:lineRule="auto"/>
        <w:ind w:firstLine="437"/>
        <w:outlineLvl w:val="9"/>
        <w:rPr>
          <w:rFonts w:hint="eastAsia" w:ascii="宋体" w:hAnsi="宋体" w:eastAsia="宋体" w:cs="宋体"/>
          <w:bCs/>
          <w:i w:val="0"/>
          <w:iCs w:val="0"/>
          <w:color w:val="auto"/>
          <w:sz w:val="24"/>
          <w:szCs w:val="24"/>
          <w:highlight w:val="none"/>
          <w:lang w:eastAsia="zh-CN"/>
        </w:rPr>
      </w:pPr>
      <w:bookmarkStart w:id="6" w:name="_Toc20457"/>
      <w:bookmarkStart w:id="7" w:name="_Toc14698"/>
      <w:bookmarkStart w:id="8" w:name="_Toc15293"/>
      <w:r>
        <w:rPr>
          <w:rFonts w:hint="eastAsia" w:ascii="宋体" w:hAnsi="宋体" w:eastAsia="宋体" w:cs="宋体"/>
          <w:bCs/>
          <w:i w:val="0"/>
          <w:iCs w:val="0"/>
          <w:color w:val="auto"/>
          <w:sz w:val="24"/>
          <w:szCs w:val="24"/>
        </w:rPr>
        <w:t>供应商的报价应包含所投</w:t>
      </w:r>
      <w:r>
        <w:rPr>
          <w:rFonts w:hint="eastAsia" w:ascii="宋体" w:hAnsi="宋体" w:eastAsia="宋体" w:cs="宋体"/>
          <w:bCs/>
          <w:i w:val="0"/>
          <w:iCs w:val="0"/>
          <w:color w:val="auto"/>
          <w:sz w:val="24"/>
          <w:szCs w:val="24"/>
          <w:lang w:val="en-US" w:eastAsia="zh-CN"/>
        </w:rPr>
        <w:t>全部</w:t>
      </w:r>
      <w:r>
        <w:rPr>
          <w:rFonts w:hint="eastAsia" w:ascii="宋体" w:hAnsi="宋体" w:eastAsia="宋体" w:cs="宋体"/>
          <w:bCs/>
          <w:i w:val="0"/>
          <w:iCs w:val="0"/>
          <w:color w:val="auto"/>
          <w:sz w:val="24"/>
          <w:szCs w:val="24"/>
        </w:rPr>
        <w:t>货物</w:t>
      </w:r>
      <w:r>
        <w:rPr>
          <w:rFonts w:hint="eastAsia" w:ascii="宋体" w:hAnsi="宋体" w:eastAsia="宋体" w:cs="宋体"/>
          <w:bCs/>
          <w:i w:val="0"/>
          <w:iCs w:val="0"/>
          <w:color w:val="auto"/>
          <w:sz w:val="24"/>
          <w:szCs w:val="24"/>
          <w:lang w:val="en-US" w:eastAsia="zh-CN"/>
        </w:rPr>
        <w:t>及所需附件购置费</w:t>
      </w:r>
      <w:r>
        <w:rPr>
          <w:rFonts w:hint="eastAsia" w:ascii="宋体" w:hAnsi="宋体" w:eastAsia="宋体" w:cs="宋体"/>
          <w:bCs/>
          <w:i w:val="0"/>
          <w:iCs w:val="0"/>
          <w:color w:val="auto"/>
          <w:sz w:val="24"/>
          <w:szCs w:val="24"/>
        </w:rPr>
        <w:t>、保险</w:t>
      </w:r>
      <w:r>
        <w:rPr>
          <w:rFonts w:hint="eastAsia" w:ascii="宋体" w:hAnsi="宋体" w:eastAsia="宋体" w:cs="宋体"/>
          <w:bCs/>
          <w:i w:val="0"/>
          <w:iCs w:val="0"/>
          <w:color w:val="auto"/>
          <w:sz w:val="24"/>
          <w:szCs w:val="24"/>
          <w:lang w:val="en-US" w:eastAsia="zh-CN"/>
        </w:rPr>
        <w:t>费</w:t>
      </w:r>
      <w:r>
        <w:rPr>
          <w:rFonts w:hint="eastAsia" w:ascii="宋体" w:hAnsi="宋体" w:eastAsia="宋体" w:cs="宋体"/>
          <w:bCs/>
          <w:i w:val="0"/>
          <w:iCs w:val="0"/>
          <w:color w:val="auto"/>
          <w:sz w:val="24"/>
          <w:szCs w:val="24"/>
        </w:rPr>
        <w:t>、税费、包装、加工及加工损耗、运输</w:t>
      </w:r>
      <w:r>
        <w:rPr>
          <w:rFonts w:hint="eastAsia" w:ascii="宋体" w:hAnsi="宋体" w:eastAsia="宋体" w:cs="宋体"/>
          <w:bCs/>
          <w:i w:val="0"/>
          <w:iCs w:val="0"/>
          <w:color w:val="auto"/>
          <w:sz w:val="24"/>
          <w:szCs w:val="24"/>
          <w:lang w:val="en-US" w:eastAsia="zh-CN"/>
        </w:rPr>
        <w:t>费</w:t>
      </w:r>
      <w:r>
        <w:rPr>
          <w:rFonts w:hint="eastAsia" w:ascii="宋体" w:hAnsi="宋体" w:eastAsia="宋体" w:cs="宋体"/>
          <w:bCs/>
          <w:i w:val="0"/>
          <w:iCs w:val="0"/>
          <w:color w:val="auto"/>
          <w:sz w:val="24"/>
          <w:szCs w:val="24"/>
        </w:rPr>
        <w:t>、现场落地、安装及安装损耗</w:t>
      </w:r>
      <w:r>
        <w:rPr>
          <w:rFonts w:hint="eastAsia" w:ascii="宋体" w:hAnsi="宋体" w:eastAsia="宋体" w:cs="宋体"/>
          <w:bCs/>
          <w:i w:val="0"/>
          <w:iCs w:val="0"/>
          <w:color w:val="auto"/>
          <w:sz w:val="24"/>
          <w:szCs w:val="24"/>
          <w:lang w:val="en-US" w:eastAsia="zh-CN"/>
        </w:rPr>
        <w:t>费</w:t>
      </w:r>
      <w:r>
        <w:rPr>
          <w:rFonts w:hint="eastAsia" w:ascii="宋体" w:hAnsi="宋体" w:eastAsia="宋体" w:cs="宋体"/>
          <w:bCs/>
          <w:i w:val="0"/>
          <w:iCs w:val="0"/>
          <w:color w:val="auto"/>
          <w:sz w:val="24"/>
          <w:szCs w:val="24"/>
        </w:rPr>
        <w:t>、调试</w:t>
      </w:r>
      <w:r>
        <w:rPr>
          <w:rFonts w:hint="eastAsia" w:ascii="宋体" w:hAnsi="宋体" w:eastAsia="宋体" w:cs="宋体"/>
          <w:bCs/>
          <w:i w:val="0"/>
          <w:iCs w:val="0"/>
          <w:color w:val="auto"/>
          <w:sz w:val="24"/>
          <w:szCs w:val="24"/>
          <w:lang w:val="en-US" w:eastAsia="zh-CN"/>
        </w:rPr>
        <w:t>费</w:t>
      </w:r>
      <w:r>
        <w:rPr>
          <w:rFonts w:hint="eastAsia" w:ascii="宋体" w:hAnsi="宋体" w:eastAsia="宋体" w:cs="宋体"/>
          <w:bCs/>
          <w:i w:val="0"/>
          <w:iCs w:val="0"/>
          <w:color w:val="auto"/>
          <w:sz w:val="24"/>
          <w:szCs w:val="24"/>
        </w:rPr>
        <w:t>、培训</w:t>
      </w:r>
      <w:r>
        <w:rPr>
          <w:rFonts w:hint="eastAsia" w:ascii="宋体" w:hAnsi="宋体" w:eastAsia="宋体" w:cs="宋体"/>
          <w:bCs/>
          <w:i w:val="0"/>
          <w:iCs w:val="0"/>
          <w:color w:val="auto"/>
          <w:sz w:val="24"/>
          <w:szCs w:val="24"/>
          <w:lang w:val="en-US" w:eastAsia="zh-CN"/>
        </w:rPr>
        <w:t>费</w:t>
      </w:r>
      <w:r>
        <w:rPr>
          <w:rFonts w:hint="eastAsia" w:ascii="宋体" w:hAnsi="宋体" w:eastAsia="宋体" w:cs="宋体"/>
          <w:bCs/>
          <w:i w:val="0"/>
          <w:iCs w:val="0"/>
          <w:color w:val="auto"/>
          <w:sz w:val="24"/>
          <w:szCs w:val="24"/>
        </w:rPr>
        <w:t>和交付后约定期限内免费维保</w:t>
      </w:r>
      <w:r>
        <w:rPr>
          <w:rFonts w:hint="eastAsia" w:ascii="宋体" w:hAnsi="宋体" w:eastAsia="宋体" w:cs="宋体"/>
          <w:bCs/>
          <w:i w:val="0"/>
          <w:iCs w:val="0"/>
          <w:color w:val="auto"/>
          <w:sz w:val="24"/>
          <w:szCs w:val="24"/>
          <w:lang w:val="en-US" w:eastAsia="zh-CN"/>
        </w:rPr>
        <w:t>费</w:t>
      </w:r>
      <w:r>
        <w:rPr>
          <w:rFonts w:hint="eastAsia" w:ascii="宋体" w:hAnsi="宋体" w:eastAsia="宋体" w:cs="宋体"/>
          <w:bCs/>
          <w:i w:val="0"/>
          <w:iCs w:val="0"/>
          <w:color w:val="auto"/>
          <w:sz w:val="24"/>
          <w:szCs w:val="24"/>
        </w:rPr>
        <w:t>等工作所发生的一切应有费用。投标报价为签订合同的依据。</w:t>
      </w:r>
      <w:r>
        <w:rPr>
          <w:rFonts w:hint="eastAsia" w:ascii="宋体" w:hAnsi="宋体" w:eastAsia="宋体" w:cs="宋体"/>
          <w:bCs/>
          <w:i w:val="0"/>
          <w:iCs w:val="0"/>
          <w:color w:val="auto"/>
          <w:sz w:val="24"/>
          <w:szCs w:val="24"/>
          <w:highlight w:val="none"/>
        </w:rPr>
        <w:t>如果分项报价中存在缺漏项，则视为缺漏项价格已包含在其他分项报价之中</w:t>
      </w:r>
      <w:r>
        <w:rPr>
          <w:rFonts w:hint="eastAsia" w:ascii="宋体" w:hAnsi="宋体" w:eastAsia="宋体" w:cs="宋体"/>
          <w:bCs/>
          <w:i w:val="0"/>
          <w:iCs w:val="0"/>
          <w:color w:val="auto"/>
          <w:sz w:val="24"/>
          <w:szCs w:val="24"/>
          <w:highlight w:val="none"/>
          <w:lang w:eastAsia="zh-CN"/>
        </w:rPr>
        <w:t>。</w:t>
      </w:r>
    </w:p>
    <w:p w14:paraId="5B334D47">
      <w:pPr>
        <w:spacing w:line="360" w:lineRule="auto"/>
        <w:ind w:firstLine="437"/>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rPr>
        <w:t>四、其他要求</w:t>
      </w:r>
      <w:bookmarkEnd w:id="6"/>
      <w:bookmarkEnd w:id="7"/>
      <w:bookmarkEnd w:id="8"/>
    </w:p>
    <w:p w14:paraId="46F1F2B3">
      <w:pPr>
        <w:widowControl/>
        <w:ind w:right="45"/>
        <w:jc w:val="left"/>
        <w:rPr>
          <w:rFonts w:hint="eastAsia" w:ascii="宋体" w:hAnsi="宋体" w:eastAsia="宋体" w:cs="宋体"/>
          <w:color w:val="auto"/>
          <w:sz w:val="24"/>
          <w:szCs w:val="24"/>
          <w:lang w:val="en-US" w:eastAsia="zh-CN"/>
        </w:rPr>
      </w:pPr>
      <w:bookmarkStart w:id="9" w:name="_Toc12681"/>
      <w:bookmarkStart w:id="10" w:name="_Toc10710"/>
      <w:bookmarkStart w:id="11" w:name="_Toc6897"/>
      <w:r>
        <w:rPr>
          <w:rFonts w:hint="eastAsia" w:ascii="宋体" w:hAnsi="宋体" w:eastAsia="宋体" w:cs="宋体"/>
          <w:color w:val="auto"/>
          <w:sz w:val="24"/>
          <w:szCs w:val="24"/>
          <w:lang w:val="en-US" w:eastAsia="zh-CN"/>
        </w:rPr>
        <w:t>1、报价除包含“三、报价要求”所列内容外，还包含所投设备的所有管线、五金、支架等清单未列明的安装辅材、安全保护、现场清理等完成本项目所需全部费用</w:t>
      </w:r>
      <w:r>
        <w:rPr>
          <w:rFonts w:hint="eastAsia" w:ascii="宋体" w:hAnsi="宋体" w:eastAsia="宋体" w:cs="宋体"/>
          <w:color w:val="auto"/>
          <w:sz w:val="24"/>
          <w:szCs w:val="24"/>
          <w:lang w:val="en-US" w:eastAsia="zh-CN"/>
        </w:rPr>
        <w:t>。</w:t>
      </w:r>
    </w:p>
    <w:p w14:paraId="3600C4F6">
      <w:pPr>
        <w:widowControl/>
        <w:ind w:right="45"/>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2、所有设备或材料应为全新的合格产品并满足最新国标、环保要求。</w:t>
      </w:r>
    </w:p>
    <w:p w14:paraId="58C90D57">
      <w:pPr>
        <w:widowControl/>
        <w:ind w:right="45"/>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3、所有明确数值的参数，如未明确偏差值，负偏离不得超过3%。</w:t>
      </w:r>
    </w:p>
    <w:p w14:paraId="671AC29E">
      <w:pPr>
        <w:widowControl/>
        <w:ind w:right="45"/>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4、招标文件里要求提供相关证明材料的，投标时不需要提供原件。</w:t>
      </w:r>
      <w:r>
        <w:rPr>
          <w:rFonts w:hint="eastAsia" w:ascii="宋体" w:hAnsi="宋体" w:eastAsia="宋体" w:cs="宋体"/>
          <w:b/>
          <w:bCs/>
          <w:color w:val="auto"/>
          <w:sz w:val="24"/>
          <w:szCs w:val="24"/>
          <w:lang w:val="en-US" w:eastAsia="zh-CN"/>
        </w:rPr>
        <w:t>签订合同前，采购人可以要求中标人提供原件，未在规定时间内提供原件的，中标无效，并赔偿采购人的相关损失。采购人将报告监管部门</w:t>
      </w:r>
      <w:r>
        <w:rPr>
          <w:rFonts w:hint="eastAsia" w:ascii="宋体" w:hAnsi="宋体" w:eastAsia="宋体" w:cs="宋体"/>
          <w:color w:val="auto"/>
          <w:sz w:val="24"/>
          <w:szCs w:val="24"/>
          <w:lang w:val="en-US" w:eastAsia="zh-CN"/>
        </w:rPr>
        <w:t>。</w:t>
      </w:r>
    </w:p>
    <w:p w14:paraId="0D30FC05">
      <w:pPr>
        <w:widowControl/>
        <w:ind w:right="45"/>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5、所有设备、材料要经业主确认（包括但不限于技术参数、材质、款式、颜色等）后方可进场。</w:t>
      </w:r>
    </w:p>
    <w:p w14:paraId="6A0DB5FF">
      <w:pPr>
        <w:widowControl/>
        <w:ind w:right="45"/>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6、本项目涉及的所有标准，如不是最新标准，按照最新标准执行。</w:t>
      </w:r>
    </w:p>
    <w:p w14:paraId="66365335">
      <w:pPr>
        <w:widowControl/>
        <w:ind w:right="45"/>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bookmarkStart w:id="12" w:name="_GoBack"/>
      <w:bookmarkEnd w:id="12"/>
      <w:r>
        <w:rPr>
          <w:rFonts w:hint="eastAsia" w:ascii="宋体" w:hAnsi="宋体" w:eastAsia="宋体" w:cs="宋体"/>
          <w:b/>
          <w:bCs/>
          <w:color w:val="auto"/>
          <w:sz w:val="24"/>
          <w:szCs w:val="24"/>
          <w:lang w:val="en-US" w:eastAsia="zh-CN"/>
        </w:rPr>
        <w:t>本项目核心产品：2包：设备明细及参数中的序号1：智慧黑板1</w:t>
      </w:r>
    </w:p>
    <w:p w14:paraId="690D7AC5">
      <w:pPr>
        <w:widowControl/>
        <w:ind w:right="45"/>
        <w:jc w:val="left"/>
        <w:rPr>
          <w:rFonts w:hint="eastAsia" w:ascii="宋体" w:hAnsi="宋体" w:eastAsia="宋体" w:cs="宋体"/>
          <w:color w:val="auto"/>
          <w:sz w:val="24"/>
          <w:szCs w:val="24"/>
          <w:lang w:val="en-US" w:eastAsia="zh-CN"/>
        </w:rPr>
      </w:pPr>
    </w:p>
    <w:p w14:paraId="5DA6B329">
      <w:pPr>
        <w:spacing w:line="360" w:lineRule="auto"/>
        <w:ind w:firstLine="437"/>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五、样品</w:t>
      </w:r>
      <w:r>
        <w:rPr>
          <w:rFonts w:hint="eastAsia" w:ascii="宋体" w:hAnsi="宋体" w:eastAsia="宋体" w:cs="宋体"/>
          <w:b/>
          <w:color w:val="auto"/>
          <w:sz w:val="24"/>
          <w:szCs w:val="24"/>
        </w:rPr>
        <w:t>要求</w:t>
      </w:r>
      <w:bookmarkEnd w:id="9"/>
      <w:bookmarkEnd w:id="10"/>
      <w:bookmarkEnd w:id="11"/>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无。</w:t>
      </w:r>
    </w:p>
    <w:p w14:paraId="4E00A20E">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8F797"/>
    <w:multiLevelType w:val="singleLevel"/>
    <w:tmpl w:val="A588F797"/>
    <w:lvl w:ilvl="0" w:tentative="0">
      <w:start w:val="1"/>
      <w:numFmt w:val="chineseCounting"/>
      <w:suff w:val="nothing"/>
      <w:lvlText w:val="%1、"/>
      <w:lvlJc w:val="left"/>
      <w:rPr>
        <w:rFonts w:hint="eastAsia"/>
      </w:rPr>
    </w:lvl>
  </w:abstractNum>
  <w:abstractNum w:abstractNumId="1">
    <w:nsid w:val="B0150FF2"/>
    <w:multiLevelType w:val="singleLevel"/>
    <w:tmpl w:val="B0150FF2"/>
    <w:lvl w:ilvl="0" w:tentative="0">
      <w:start w:val="1"/>
      <w:numFmt w:val="chineseCounting"/>
      <w:suff w:val="nothing"/>
      <w:lvlText w:val="%1、"/>
      <w:lvlJc w:val="left"/>
      <w:rPr>
        <w:rFonts w:hint="eastAsia"/>
      </w:rPr>
    </w:lvl>
  </w:abstractNum>
  <w:abstractNum w:abstractNumId="2">
    <w:nsid w:val="E41BE61F"/>
    <w:multiLevelType w:val="singleLevel"/>
    <w:tmpl w:val="E41BE61F"/>
    <w:lvl w:ilvl="0" w:tentative="0">
      <w:start w:val="3"/>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E162E"/>
    <w:rsid w:val="343C705E"/>
    <w:rsid w:val="444E3F5B"/>
    <w:rsid w:val="601D2C6A"/>
    <w:rsid w:val="73050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5">
    <w:name w:val="D&amp;L"/>
    <w:basedOn w:val="2"/>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7319</Words>
  <Characters>8319</Characters>
  <Lines>0</Lines>
  <Paragraphs>0</Paragraphs>
  <TotalTime>0</TotalTime>
  <ScaleCrop>false</ScaleCrop>
  <LinksUpToDate>false</LinksUpToDate>
  <CharactersWithSpaces>8373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2025-04-29T08:37:00Z</dcterms:created>
  <dc:creator>lenovo</dc:creator>
  <cp:lastModifiedBy>lenovo</cp:lastModifiedBy>
  <dcterms:modified xsi:type="dcterms:W3CDTF">2025-04-29T09:15:15Z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eyJoZGlkIjoiZTM0MGUwM2M3OTQwYjcwMWNkY2ZlNmFmOWVlYTUzZWEiLCJ1c2VySWQiOiIxNDgxNDc4NzE5In0=</vt:lpwstr>
  </property>
  <property fmtid="{D5CDD505-2E9C-101B-9397-08002B2CF9AE}" pid="4" name="ICV">
    <vt:lpwstr>67A83834C25F46C48844C81319162CAA_12</vt:lpwstr>
  </property>
</Properties>
</file>